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8B3C5" w14:textId="77777777" w:rsidR="00F918FB" w:rsidRDefault="00F918FB"/>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9627" w:type="dxa"/>
        <w:tblLook w:val="04A0" w:firstRow="1" w:lastRow="0" w:firstColumn="1" w:lastColumn="0" w:noHBand="0" w:noVBand="1"/>
      </w:tblPr>
      <w:tblGrid>
        <w:gridCol w:w="2715"/>
        <w:gridCol w:w="3926"/>
        <w:gridCol w:w="967"/>
        <w:gridCol w:w="2019"/>
      </w:tblGrid>
      <w:tr w:rsidR="0012209D" w14:paraId="15BF086F" w14:textId="77777777" w:rsidTr="28437158">
        <w:tc>
          <w:tcPr>
            <w:tcW w:w="2715" w:type="dxa"/>
            <w:shd w:val="clear" w:color="auto" w:fill="D9D9D9" w:themeFill="background1" w:themeFillShade="D9"/>
          </w:tcPr>
          <w:p w14:paraId="15BF086D" w14:textId="77777777" w:rsidR="0012209D" w:rsidRDefault="0012209D" w:rsidP="00321CAA">
            <w:r>
              <w:t>Post title:</w:t>
            </w:r>
          </w:p>
        </w:tc>
        <w:tc>
          <w:tcPr>
            <w:tcW w:w="6912" w:type="dxa"/>
            <w:gridSpan w:val="3"/>
          </w:tcPr>
          <w:p w14:paraId="15BF086E" w14:textId="0E5BF4B0" w:rsidR="0012209D" w:rsidRPr="003644C2" w:rsidRDefault="00CA275C" w:rsidP="0012532C">
            <w:pPr>
              <w:rPr>
                <w:bCs/>
              </w:rPr>
            </w:pPr>
            <w:r w:rsidRPr="003644C2">
              <w:rPr>
                <w:bCs/>
              </w:rPr>
              <w:t>Dean of Social Sciences</w:t>
            </w:r>
          </w:p>
        </w:tc>
      </w:tr>
      <w:tr w:rsidR="0028437E" w14:paraId="07201851" w14:textId="77777777" w:rsidTr="28437158">
        <w:tc>
          <w:tcPr>
            <w:tcW w:w="2715" w:type="dxa"/>
            <w:shd w:val="clear" w:color="auto" w:fill="D9D9D9" w:themeFill="background1" w:themeFillShade="D9"/>
          </w:tcPr>
          <w:p w14:paraId="158400D7" w14:textId="0BF08E93" w:rsidR="0028437E" w:rsidRDefault="0028437E" w:rsidP="00321CAA">
            <w:r>
              <w:t>Faculty/Directorate:</w:t>
            </w:r>
          </w:p>
        </w:tc>
        <w:tc>
          <w:tcPr>
            <w:tcW w:w="6912" w:type="dxa"/>
            <w:gridSpan w:val="3"/>
          </w:tcPr>
          <w:p w14:paraId="7A897A27" w14:textId="2DC1E13E" w:rsidR="0028437E" w:rsidRDefault="00CA275C" w:rsidP="00321CAA">
            <w:r>
              <w:t>Faculty of Social Sciences</w:t>
            </w:r>
          </w:p>
        </w:tc>
      </w:tr>
      <w:tr w:rsidR="0097240C" w14:paraId="15BF087A" w14:textId="77777777" w:rsidTr="28437158">
        <w:tc>
          <w:tcPr>
            <w:tcW w:w="2715" w:type="dxa"/>
            <w:shd w:val="clear" w:color="auto" w:fill="D9D9D9" w:themeFill="background1" w:themeFillShade="D9"/>
          </w:tcPr>
          <w:p w14:paraId="15BF0876" w14:textId="420CFAAA" w:rsidR="0012209D" w:rsidRDefault="00CF20D7" w:rsidP="00321CAA">
            <w:r>
              <w:t>Job Family</w:t>
            </w:r>
            <w:r w:rsidR="0012209D">
              <w:t>:</w:t>
            </w:r>
          </w:p>
        </w:tc>
        <w:tc>
          <w:tcPr>
            <w:tcW w:w="3926" w:type="dxa"/>
          </w:tcPr>
          <w:p w14:paraId="15BF0877" w14:textId="0D7119D2" w:rsidR="0012209D" w:rsidRPr="00CE3118" w:rsidRDefault="00CA275C" w:rsidP="00321CAA">
            <w:r>
              <w:t>Education, Research and Enterprise (ERE)</w:t>
            </w:r>
          </w:p>
        </w:tc>
        <w:tc>
          <w:tcPr>
            <w:tcW w:w="967" w:type="dxa"/>
            <w:shd w:val="clear" w:color="auto" w:fill="D9D9D9" w:themeFill="background1" w:themeFillShade="D9"/>
          </w:tcPr>
          <w:p w14:paraId="15BF0878" w14:textId="77777777" w:rsidR="0012209D" w:rsidRPr="00CE3118" w:rsidRDefault="0012209D" w:rsidP="00321CAA">
            <w:r w:rsidRPr="00CE3118">
              <w:t>Level:</w:t>
            </w:r>
          </w:p>
        </w:tc>
        <w:tc>
          <w:tcPr>
            <w:tcW w:w="2019" w:type="dxa"/>
          </w:tcPr>
          <w:p w14:paraId="15BF0879" w14:textId="427709EE" w:rsidR="0012209D" w:rsidRPr="00CE3118" w:rsidRDefault="00CA275C" w:rsidP="00B159C1">
            <w:r>
              <w:t>7</w:t>
            </w:r>
          </w:p>
        </w:tc>
      </w:tr>
      <w:tr w:rsidR="0012209D" w14:paraId="15BF0881" w14:textId="77777777" w:rsidTr="28437158">
        <w:tc>
          <w:tcPr>
            <w:tcW w:w="2715" w:type="dxa"/>
            <w:shd w:val="clear" w:color="auto" w:fill="D9D9D9" w:themeFill="background1" w:themeFillShade="D9"/>
          </w:tcPr>
          <w:p w14:paraId="15BF087F" w14:textId="489711ED" w:rsidR="0012209D" w:rsidRDefault="0012209D" w:rsidP="0028437E">
            <w:r>
              <w:t>Post</w:t>
            </w:r>
            <w:r w:rsidR="0028437E">
              <w:t xml:space="preserve"> title of Line Manager:</w:t>
            </w:r>
          </w:p>
        </w:tc>
        <w:tc>
          <w:tcPr>
            <w:tcW w:w="6912" w:type="dxa"/>
            <w:gridSpan w:val="3"/>
          </w:tcPr>
          <w:p w14:paraId="15BF0880" w14:textId="0F5BC4CD" w:rsidR="0012209D" w:rsidRPr="005508A2" w:rsidRDefault="00CA275C" w:rsidP="00321CAA">
            <w:r>
              <w:t>President and Vice-Chancellor</w:t>
            </w:r>
          </w:p>
        </w:tc>
      </w:tr>
      <w:tr w:rsidR="0012209D" w14:paraId="15BF0884" w14:textId="77777777" w:rsidTr="28437158">
        <w:tc>
          <w:tcPr>
            <w:tcW w:w="2715" w:type="dxa"/>
            <w:shd w:val="clear" w:color="auto" w:fill="D9D9D9" w:themeFill="background1" w:themeFillShade="D9"/>
          </w:tcPr>
          <w:p w14:paraId="15BF0882" w14:textId="222B553D" w:rsidR="0012209D" w:rsidRDefault="0012209D" w:rsidP="0028437E">
            <w:r>
              <w:t>Post</w:t>
            </w:r>
            <w:r w:rsidR="0028437E">
              <w:t xml:space="preserve"> title(s) </w:t>
            </w:r>
            <w:r>
              <w:t>responsible for:</w:t>
            </w:r>
          </w:p>
        </w:tc>
        <w:tc>
          <w:tcPr>
            <w:tcW w:w="6912" w:type="dxa"/>
            <w:gridSpan w:val="3"/>
          </w:tcPr>
          <w:p w14:paraId="15BF0883" w14:textId="0084FB98" w:rsidR="0012209D" w:rsidRPr="00CA275C" w:rsidRDefault="00CA275C" w:rsidP="00321CAA">
            <w:r w:rsidRPr="00CA275C">
              <w:t>Associate Deans and Heads of School</w:t>
            </w:r>
          </w:p>
        </w:tc>
      </w:tr>
      <w:tr w:rsidR="0012209D" w14:paraId="15BF0887" w14:textId="77777777" w:rsidTr="28437158">
        <w:tc>
          <w:tcPr>
            <w:tcW w:w="2715" w:type="dxa"/>
            <w:shd w:val="clear" w:color="auto" w:fill="D9D9D9" w:themeFill="background1" w:themeFillShade="D9"/>
          </w:tcPr>
          <w:p w14:paraId="15BF0885" w14:textId="77777777" w:rsidR="0012209D" w:rsidRDefault="0012209D" w:rsidP="00321CAA">
            <w:r>
              <w:t>Post base:</w:t>
            </w:r>
          </w:p>
        </w:tc>
        <w:tc>
          <w:tcPr>
            <w:tcW w:w="6912" w:type="dxa"/>
            <w:gridSpan w:val="3"/>
          </w:tcPr>
          <w:p w14:paraId="15BF0886" w14:textId="4E28D213" w:rsidR="0012209D" w:rsidRPr="005508A2" w:rsidRDefault="0012209D" w:rsidP="00CA275C">
            <w:r w:rsidRPr="00CA275C">
              <w:t>Office-base</w:t>
            </w:r>
            <w:r w:rsidR="00CA275C" w:rsidRPr="00CA275C">
              <w:t>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3252D315" w14:textId="77777777" w:rsidR="0012209D" w:rsidRPr="008F1399" w:rsidRDefault="00CA275C" w:rsidP="008F1399">
            <w:pPr>
              <w:spacing w:after="120"/>
              <w:rPr>
                <w:iCs/>
              </w:rPr>
            </w:pPr>
            <w:r w:rsidRPr="008F1399">
              <w:rPr>
                <w:iCs/>
              </w:rPr>
              <w:t>The Dean has three primary duties:</w:t>
            </w:r>
          </w:p>
          <w:p w14:paraId="25AC2D1E" w14:textId="77777777" w:rsidR="00CA275C" w:rsidRPr="008F1399" w:rsidRDefault="00CA275C" w:rsidP="00CA275C">
            <w:pPr>
              <w:pStyle w:val="ListParagraph"/>
              <w:numPr>
                <w:ilvl w:val="0"/>
                <w:numId w:val="22"/>
              </w:numPr>
            </w:pPr>
            <w:r w:rsidRPr="008F1399">
              <w:t xml:space="preserve">To lead the continued success of the Faculty, playing a pivotal role in the strategic development and operation of the Faculty’s education, </w:t>
            </w:r>
            <w:proofErr w:type="gramStart"/>
            <w:r w:rsidRPr="008F1399">
              <w:t>research</w:t>
            </w:r>
            <w:proofErr w:type="gramEnd"/>
            <w:r w:rsidRPr="008F1399">
              <w:t xml:space="preserve"> and enterprise through the effective leadership of staff and management of resources in the pursuit of University and Faculty strategic goals.</w:t>
            </w:r>
          </w:p>
          <w:p w14:paraId="23ECEC0C" w14:textId="70A3AD6D" w:rsidR="00CA275C" w:rsidRPr="008F1399" w:rsidRDefault="00CA275C" w:rsidP="00CA275C">
            <w:pPr>
              <w:pStyle w:val="ListParagraph"/>
              <w:numPr>
                <w:ilvl w:val="0"/>
                <w:numId w:val="22"/>
              </w:numPr>
            </w:pPr>
            <w:r w:rsidRPr="008F1399">
              <w:t xml:space="preserve">To be responsible, as a senior member of the University, for the strategic direction, </w:t>
            </w:r>
            <w:proofErr w:type="gramStart"/>
            <w:r w:rsidRPr="008F1399">
              <w:t>development</w:t>
            </w:r>
            <w:proofErr w:type="gramEnd"/>
            <w:r w:rsidRPr="008F1399">
              <w:t xml:space="preserve"> and performance of the University, taking on specific institution-wide responsibilities.</w:t>
            </w:r>
          </w:p>
          <w:p w14:paraId="25AE5ADC" w14:textId="77777777" w:rsidR="00CA275C" w:rsidRDefault="00CA275C" w:rsidP="00CA275C">
            <w:pPr>
              <w:pStyle w:val="ListParagraph"/>
              <w:numPr>
                <w:ilvl w:val="0"/>
                <w:numId w:val="22"/>
              </w:numPr>
            </w:pPr>
            <w:r w:rsidRPr="008F1399">
              <w:t xml:space="preserve">To represent the University and Faculty </w:t>
            </w:r>
            <w:r w:rsidR="003644C2" w:rsidRPr="008F1399">
              <w:t xml:space="preserve">externally for the purposes of growing income, enhancing </w:t>
            </w:r>
            <w:proofErr w:type="gramStart"/>
            <w:r w:rsidR="003644C2" w:rsidRPr="008F1399">
              <w:t>reputation</w:t>
            </w:r>
            <w:proofErr w:type="gramEnd"/>
            <w:r w:rsidR="003644C2" w:rsidRPr="008F1399">
              <w:t xml:space="preserve"> and contributing to the University’s development activities.</w:t>
            </w:r>
          </w:p>
          <w:p w14:paraId="15BF088B" w14:textId="1F1B7364" w:rsidR="00B11F45" w:rsidRDefault="00B11F45" w:rsidP="00385BC3">
            <w:pPr>
              <w:pStyle w:val="ListParagraph"/>
              <w:ind w:left="360"/>
            </w:pP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09"/>
        <w:gridCol w:w="1019"/>
      </w:tblGrid>
      <w:tr w:rsidR="0012209D" w14:paraId="15BF0890" w14:textId="77777777" w:rsidTr="008F1399">
        <w:trPr>
          <w:cantSplit/>
          <w:tblHeader/>
        </w:trPr>
        <w:tc>
          <w:tcPr>
            <w:tcW w:w="860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9" w:type="dxa"/>
            <w:shd w:val="clear" w:color="auto" w:fill="D9D9D9" w:themeFill="background1" w:themeFillShade="D9"/>
          </w:tcPr>
          <w:p w14:paraId="15BF088F" w14:textId="77777777" w:rsidR="0012209D" w:rsidRDefault="0012209D" w:rsidP="00321CAA">
            <w:r>
              <w:t>% Time</w:t>
            </w:r>
          </w:p>
        </w:tc>
      </w:tr>
      <w:tr w:rsidR="0012209D" w14:paraId="15BF0894" w14:textId="77777777" w:rsidTr="008F1399">
        <w:trPr>
          <w:cantSplit/>
        </w:trPr>
        <w:tc>
          <w:tcPr>
            <w:tcW w:w="599" w:type="dxa"/>
            <w:tcBorders>
              <w:right w:val="nil"/>
            </w:tcBorders>
          </w:tcPr>
          <w:p w14:paraId="15BF0891" w14:textId="77777777" w:rsidR="0012209D" w:rsidRDefault="0012209D" w:rsidP="0012209D">
            <w:pPr>
              <w:pStyle w:val="ListParagraph"/>
              <w:numPr>
                <w:ilvl w:val="0"/>
                <w:numId w:val="17"/>
              </w:numPr>
            </w:pPr>
          </w:p>
        </w:tc>
        <w:tc>
          <w:tcPr>
            <w:tcW w:w="8009" w:type="dxa"/>
            <w:tcBorders>
              <w:left w:val="nil"/>
            </w:tcBorders>
          </w:tcPr>
          <w:p w14:paraId="15BF0892" w14:textId="55951E5E" w:rsidR="0012209D" w:rsidRDefault="003644C2" w:rsidP="00321CAA">
            <w:r>
              <w:t>To work effectively as a senior member of the University, contributing to the development and implementation of wider University strategy.</w:t>
            </w:r>
          </w:p>
        </w:tc>
        <w:tc>
          <w:tcPr>
            <w:tcW w:w="1019" w:type="dxa"/>
          </w:tcPr>
          <w:p w14:paraId="15BF0893" w14:textId="55542EB5" w:rsidR="0012209D" w:rsidRDefault="003644C2" w:rsidP="003644C2">
            <w:r>
              <w:t>15</w:t>
            </w:r>
            <w:r w:rsidR="00E804B0">
              <w:t>%</w:t>
            </w:r>
          </w:p>
        </w:tc>
      </w:tr>
      <w:tr w:rsidR="0012209D" w14:paraId="15BF0898" w14:textId="77777777" w:rsidTr="008F1399">
        <w:trPr>
          <w:cantSplit/>
        </w:trPr>
        <w:tc>
          <w:tcPr>
            <w:tcW w:w="599" w:type="dxa"/>
            <w:tcBorders>
              <w:right w:val="nil"/>
            </w:tcBorders>
          </w:tcPr>
          <w:p w14:paraId="15BF0895" w14:textId="77777777" w:rsidR="0012209D" w:rsidRDefault="0012209D" w:rsidP="0012209D">
            <w:pPr>
              <w:pStyle w:val="ListParagraph"/>
              <w:numPr>
                <w:ilvl w:val="0"/>
                <w:numId w:val="17"/>
              </w:numPr>
            </w:pPr>
          </w:p>
        </w:tc>
        <w:tc>
          <w:tcPr>
            <w:tcW w:w="8009" w:type="dxa"/>
            <w:tcBorders>
              <w:left w:val="nil"/>
            </w:tcBorders>
          </w:tcPr>
          <w:p w14:paraId="15BF0896" w14:textId="5F20F455" w:rsidR="0012209D" w:rsidRDefault="003644C2" w:rsidP="00321CAA">
            <w:r>
              <w:t xml:space="preserve">Develop strong strategic relationships with key stakeholders (internal and external) to enhance the Faculty’s leading role in education, </w:t>
            </w:r>
            <w:proofErr w:type="gramStart"/>
            <w:r>
              <w:t>research</w:t>
            </w:r>
            <w:proofErr w:type="gramEnd"/>
            <w:r>
              <w:t xml:space="preserve"> and enterprise, thus developing and maintaining the Faculty’s national and international reputation.</w:t>
            </w:r>
          </w:p>
        </w:tc>
        <w:tc>
          <w:tcPr>
            <w:tcW w:w="1019" w:type="dxa"/>
          </w:tcPr>
          <w:p w14:paraId="15BF0897" w14:textId="14A5A9F4" w:rsidR="0012209D" w:rsidRDefault="003644C2" w:rsidP="003644C2">
            <w:r>
              <w:t>10%</w:t>
            </w:r>
          </w:p>
        </w:tc>
      </w:tr>
      <w:tr w:rsidR="0012209D" w14:paraId="15BF089C" w14:textId="77777777" w:rsidTr="008F1399">
        <w:trPr>
          <w:cantSplit/>
        </w:trPr>
        <w:tc>
          <w:tcPr>
            <w:tcW w:w="599" w:type="dxa"/>
            <w:tcBorders>
              <w:right w:val="nil"/>
            </w:tcBorders>
          </w:tcPr>
          <w:p w14:paraId="15BF0899" w14:textId="77777777" w:rsidR="0012209D" w:rsidRDefault="0012209D" w:rsidP="0012209D">
            <w:pPr>
              <w:pStyle w:val="ListParagraph"/>
              <w:numPr>
                <w:ilvl w:val="0"/>
                <w:numId w:val="17"/>
              </w:numPr>
            </w:pPr>
          </w:p>
        </w:tc>
        <w:tc>
          <w:tcPr>
            <w:tcW w:w="8009" w:type="dxa"/>
            <w:tcBorders>
              <w:left w:val="nil"/>
            </w:tcBorders>
          </w:tcPr>
          <w:p w14:paraId="15BF089A" w14:textId="491A3758" w:rsidR="0012209D" w:rsidRDefault="003644C2" w:rsidP="00321CAA">
            <w:r>
              <w:t xml:space="preserve">Lead the Faculty in a transparent and consultative manner to develop and implement its business plans for excellence in research and education, thereby achieving agreed Faculty performance targets </w:t>
            </w:r>
            <w:r w:rsidRPr="00065867">
              <w:t>including tuition fee</w:t>
            </w:r>
            <w:r w:rsidR="003D3068" w:rsidRPr="00065867">
              <w:t xml:space="preserve">, </w:t>
            </w:r>
            <w:proofErr w:type="gramStart"/>
            <w:r w:rsidRPr="00065867">
              <w:t>research</w:t>
            </w:r>
            <w:proofErr w:type="gramEnd"/>
            <w:r w:rsidRPr="00065867">
              <w:t xml:space="preserve"> </w:t>
            </w:r>
            <w:r w:rsidR="003D3068" w:rsidRPr="00065867">
              <w:t xml:space="preserve">and other </w:t>
            </w:r>
            <w:r w:rsidRPr="00065867">
              <w:t>income.</w:t>
            </w:r>
          </w:p>
        </w:tc>
        <w:tc>
          <w:tcPr>
            <w:tcW w:w="1019" w:type="dxa"/>
          </w:tcPr>
          <w:p w14:paraId="15BF089B" w14:textId="56560CD2" w:rsidR="0012209D" w:rsidRDefault="003644C2" w:rsidP="00321CAA">
            <w:r>
              <w:t>15</w:t>
            </w:r>
            <w:r w:rsidR="00E804B0">
              <w:t xml:space="preserve"> %</w:t>
            </w:r>
          </w:p>
        </w:tc>
      </w:tr>
      <w:tr w:rsidR="0012209D" w14:paraId="15BF08A0" w14:textId="77777777" w:rsidTr="008F1399">
        <w:trPr>
          <w:cantSplit/>
        </w:trPr>
        <w:tc>
          <w:tcPr>
            <w:tcW w:w="599" w:type="dxa"/>
            <w:tcBorders>
              <w:right w:val="nil"/>
            </w:tcBorders>
          </w:tcPr>
          <w:p w14:paraId="15BF089D" w14:textId="77777777" w:rsidR="0012209D" w:rsidRDefault="0012209D" w:rsidP="0012209D">
            <w:pPr>
              <w:pStyle w:val="ListParagraph"/>
              <w:numPr>
                <w:ilvl w:val="0"/>
                <w:numId w:val="17"/>
              </w:numPr>
            </w:pPr>
          </w:p>
        </w:tc>
        <w:tc>
          <w:tcPr>
            <w:tcW w:w="8009" w:type="dxa"/>
            <w:tcBorders>
              <w:left w:val="nil"/>
            </w:tcBorders>
          </w:tcPr>
          <w:p w14:paraId="15BF089E" w14:textId="7025BD44" w:rsidR="0012209D" w:rsidRDefault="003644C2" w:rsidP="00321CAA">
            <w:r>
              <w:t>As budget holder for the Faculty, ensure, within the limits of available resources, that effective arrangements exist to enable academic excellence within the framework set by the University, in pursuit of the Faculty’s business plans.</w:t>
            </w:r>
          </w:p>
        </w:tc>
        <w:tc>
          <w:tcPr>
            <w:tcW w:w="1019" w:type="dxa"/>
          </w:tcPr>
          <w:p w14:paraId="15BF089F" w14:textId="05CD41E9" w:rsidR="0012209D" w:rsidRDefault="003644C2" w:rsidP="00321CAA">
            <w:r>
              <w:t>20</w:t>
            </w:r>
            <w:r w:rsidR="00E804B0">
              <w:t xml:space="preserve"> %</w:t>
            </w:r>
          </w:p>
        </w:tc>
      </w:tr>
      <w:tr w:rsidR="0012209D" w14:paraId="15BF08A4" w14:textId="77777777" w:rsidTr="008F1399">
        <w:trPr>
          <w:cantSplit/>
        </w:trPr>
        <w:tc>
          <w:tcPr>
            <w:tcW w:w="599" w:type="dxa"/>
            <w:tcBorders>
              <w:right w:val="nil"/>
            </w:tcBorders>
          </w:tcPr>
          <w:p w14:paraId="15BF08A1" w14:textId="77777777" w:rsidR="0012209D" w:rsidRDefault="0012209D" w:rsidP="0012209D">
            <w:pPr>
              <w:pStyle w:val="ListParagraph"/>
              <w:numPr>
                <w:ilvl w:val="0"/>
                <w:numId w:val="17"/>
              </w:numPr>
            </w:pPr>
          </w:p>
        </w:tc>
        <w:tc>
          <w:tcPr>
            <w:tcW w:w="8009" w:type="dxa"/>
            <w:tcBorders>
              <w:left w:val="nil"/>
            </w:tcBorders>
          </w:tcPr>
          <w:p w14:paraId="15BF08A2" w14:textId="3217D262" w:rsidR="0012209D" w:rsidRDefault="003644C2" w:rsidP="00321CAA">
            <w:r>
              <w:t xml:space="preserve">Establish and maintain a high performing, inclusive and respected senior leadership team and oversee the management, </w:t>
            </w:r>
            <w:proofErr w:type="gramStart"/>
            <w:r>
              <w:t>performance</w:t>
            </w:r>
            <w:proofErr w:type="gramEnd"/>
            <w:r>
              <w:t xml:space="preserve"> and development of the Faculty’s academic, research and technical staff. Work within the agreed core administration structure to organise and manage the Faculty to achieve its academic and performance goals.</w:t>
            </w:r>
          </w:p>
        </w:tc>
        <w:tc>
          <w:tcPr>
            <w:tcW w:w="1019" w:type="dxa"/>
          </w:tcPr>
          <w:p w14:paraId="15BF08A3" w14:textId="36D4F978" w:rsidR="0012209D" w:rsidRDefault="003644C2" w:rsidP="00321CAA">
            <w:r>
              <w:t>15</w:t>
            </w:r>
            <w:r w:rsidR="00E804B0">
              <w:t xml:space="preserve"> %</w:t>
            </w:r>
          </w:p>
        </w:tc>
      </w:tr>
      <w:tr w:rsidR="0012209D" w14:paraId="15BF08A8" w14:textId="77777777" w:rsidTr="008F1399">
        <w:trPr>
          <w:cantSplit/>
        </w:trPr>
        <w:tc>
          <w:tcPr>
            <w:tcW w:w="599" w:type="dxa"/>
            <w:tcBorders>
              <w:right w:val="nil"/>
            </w:tcBorders>
          </w:tcPr>
          <w:p w14:paraId="15BF08A5" w14:textId="77777777" w:rsidR="0012209D" w:rsidRDefault="0012209D" w:rsidP="0012209D">
            <w:pPr>
              <w:pStyle w:val="ListParagraph"/>
              <w:numPr>
                <w:ilvl w:val="0"/>
                <w:numId w:val="17"/>
              </w:numPr>
            </w:pPr>
          </w:p>
        </w:tc>
        <w:tc>
          <w:tcPr>
            <w:tcW w:w="8009" w:type="dxa"/>
            <w:tcBorders>
              <w:left w:val="nil"/>
            </w:tcBorders>
          </w:tcPr>
          <w:p w14:paraId="15BF08A6" w14:textId="742A2F92" w:rsidR="0012209D" w:rsidRDefault="003644C2" w:rsidP="00321CAA">
            <w:r>
              <w:t xml:space="preserve">Deliver a world-class student experience, including matters relating to the admission, recruitment, </w:t>
            </w:r>
            <w:proofErr w:type="gramStart"/>
            <w:r>
              <w:t>education</w:t>
            </w:r>
            <w:proofErr w:type="gramEnd"/>
            <w:r>
              <w:t xml:space="preserve"> and welfare of students in the Faculty, as well as the delivery of services by support staff.</w:t>
            </w:r>
          </w:p>
        </w:tc>
        <w:tc>
          <w:tcPr>
            <w:tcW w:w="1019" w:type="dxa"/>
          </w:tcPr>
          <w:p w14:paraId="15BF08A7" w14:textId="6D5771EE" w:rsidR="0012209D" w:rsidRDefault="009A1BB6" w:rsidP="00321CAA">
            <w:r>
              <w:t>10</w:t>
            </w:r>
            <w:r w:rsidR="00E804B0">
              <w:t>%</w:t>
            </w:r>
          </w:p>
        </w:tc>
      </w:tr>
      <w:tr w:rsidR="00E804B0" w14:paraId="7AAEB578" w14:textId="77777777" w:rsidTr="008F1399">
        <w:trPr>
          <w:cantSplit/>
        </w:trPr>
        <w:tc>
          <w:tcPr>
            <w:tcW w:w="599" w:type="dxa"/>
            <w:tcBorders>
              <w:right w:val="nil"/>
            </w:tcBorders>
          </w:tcPr>
          <w:p w14:paraId="331A6154" w14:textId="77777777" w:rsidR="00E804B0" w:rsidRDefault="00E804B0" w:rsidP="0012209D">
            <w:pPr>
              <w:pStyle w:val="ListParagraph"/>
              <w:numPr>
                <w:ilvl w:val="0"/>
                <w:numId w:val="17"/>
              </w:numPr>
            </w:pPr>
          </w:p>
        </w:tc>
        <w:tc>
          <w:tcPr>
            <w:tcW w:w="8009" w:type="dxa"/>
            <w:tcBorders>
              <w:left w:val="nil"/>
            </w:tcBorders>
          </w:tcPr>
          <w:p w14:paraId="16149C20" w14:textId="32D7523A" w:rsidR="00E804B0" w:rsidRDefault="003644C2" w:rsidP="00321CAA">
            <w:r>
              <w:t>Work with Research and Innovation Services and the Development Office to identify and exploit new opportunities to grow sources of income for the Faculty, including proactively developing Faculty relations with alumni philanthropists and other key stakeholders, encouraging other leaders within the Faculty to develop such relationships.</w:t>
            </w:r>
          </w:p>
        </w:tc>
        <w:tc>
          <w:tcPr>
            <w:tcW w:w="1019" w:type="dxa"/>
          </w:tcPr>
          <w:p w14:paraId="2FB62B7A" w14:textId="243002CC" w:rsidR="00E804B0" w:rsidRDefault="009A1BB6" w:rsidP="00321CAA">
            <w:r>
              <w:t>10</w:t>
            </w:r>
            <w:r w:rsidR="00E804B0">
              <w:t>%</w:t>
            </w:r>
          </w:p>
        </w:tc>
      </w:tr>
      <w:tr w:rsidR="009A1BB6" w14:paraId="5D3C75B6" w14:textId="77777777" w:rsidTr="008F1399">
        <w:trPr>
          <w:cantSplit/>
        </w:trPr>
        <w:tc>
          <w:tcPr>
            <w:tcW w:w="599" w:type="dxa"/>
            <w:tcBorders>
              <w:right w:val="nil"/>
            </w:tcBorders>
          </w:tcPr>
          <w:p w14:paraId="436C5F27" w14:textId="77777777" w:rsidR="009A1BB6" w:rsidRDefault="009A1BB6" w:rsidP="0012209D">
            <w:pPr>
              <w:pStyle w:val="ListParagraph"/>
              <w:numPr>
                <w:ilvl w:val="0"/>
                <w:numId w:val="17"/>
              </w:numPr>
            </w:pPr>
          </w:p>
        </w:tc>
        <w:tc>
          <w:tcPr>
            <w:tcW w:w="8009" w:type="dxa"/>
            <w:tcBorders>
              <w:left w:val="nil"/>
            </w:tcBorders>
          </w:tcPr>
          <w:p w14:paraId="7C4D1DFD" w14:textId="317AA730" w:rsidR="009A1BB6" w:rsidRDefault="0061181C" w:rsidP="00321CAA">
            <w:r>
              <w:t>P</w:t>
            </w:r>
            <w:r w:rsidR="009A1BB6">
              <w:t>romot</w:t>
            </w:r>
            <w:r>
              <w:t>e</w:t>
            </w:r>
            <w:r w:rsidR="009A1BB6">
              <w:t xml:space="preserve"> a culture of equality, diversity, </w:t>
            </w:r>
            <w:proofErr w:type="gramStart"/>
            <w:r w:rsidR="009A1BB6">
              <w:t>inclusion</w:t>
            </w:r>
            <w:proofErr w:type="gramEnd"/>
            <w:r w:rsidR="009A1BB6">
              <w:t xml:space="preserve"> and respect throughout the Faculty. </w:t>
            </w:r>
          </w:p>
          <w:p w14:paraId="6951BAE4" w14:textId="75576003" w:rsidR="009A1BB6" w:rsidRDefault="009A1BB6" w:rsidP="00321CAA">
            <w:r>
              <w:t xml:space="preserve">Responsible for the proper conduct of the Faculty in accordance with the University’s rules, regulations, </w:t>
            </w:r>
            <w:proofErr w:type="gramStart"/>
            <w:r>
              <w:t>policies</w:t>
            </w:r>
            <w:proofErr w:type="gramEnd"/>
            <w:r>
              <w:t xml:space="preserve"> and procedures, particularly those </w:t>
            </w:r>
            <w:r w:rsidR="002A3E28">
              <w:t xml:space="preserve">in </w:t>
            </w:r>
            <w:r>
              <w:t>relation to equality, diversity and inclusion, and health and safety.</w:t>
            </w:r>
          </w:p>
          <w:p w14:paraId="2F8B3BAD" w14:textId="11620F76" w:rsidR="009A1BB6" w:rsidRDefault="009A1BB6" w:rsidP="00321CAA">
            <w:r>
              <w:t>To undertake a</w:t>
            </w:r>
            <w:r w:rsidRPr="00447FD8">
              <w:t>ny other duties as allocated by the line manager following consultation with the post holder.</w:t>
            </w:r>
          </w:p>
        </w:tc>
        <w:tc>
          <w:tcPr>
            <w:tcW w:w="1019" w:type="dxa"/>
          </w:tcPr>
          <w:p w14:paraId="0B7D33E4" w14:textId="1B93DE38" w:rsidR="009A1BB6" w:rsidRDefault="009A1BB6" w:rsidP="00321CAA">
            <w:r>
              <w:t>5%</w:t>
            </w:r>
          </w:p>
        </w:tc>
      </w:tr>
    </w:tbl>
    <w:p w14:paraId="312F8871"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rsidRPr="00065867" w14:paraId="15BF08B1" w14:textId="77777777" w:rsidTr="00321CAA">
        <w:trPr>
          <w:trHeight w:val="1134"/>
        </w:trPr>
        <w:tc>
          <w:tcPr>
            <w:tcW w:w="10137" w:type="dxa"/>
          </w:tcPr>
          <w:p w14:paraId="331F8F50" w14:textId="5DBF56ED" w:rsidR="0012209D" w:rsidRPr="00065867" w:rsidRDefault="009A1BB6" w:rsidP="009A1BB6">
            <w:pPr>
              <w:pStyle w:val="ListParagraph"/>
              <w:numPr>
                <w:ilvl w:val="0"/>
                <w:numId w:val="23"/>
              </w:numPr>
            </w:pPr>
            <w:r w:rsidRPr="00065867">
              <w:t>Members of Council, senior executives of the University, other senior office holders of the University, directors of professional services and the Vice-Chancellor’s Office.</w:t>
            </w:r>
          </w:p>
          <w:p w14:paraId="1076AF6C" w14:textId="644D9AF4" w:rsidR="00F12C97" w:rsidRPr="00065867" w:rsidRDefault="00F12C97" w:rsidP="009A1BB6">
            <w:pPr>
              <w:pStyle w:val="ListParagraph"/>
              <w:numPr>
                <w:ilvl w:val="0"/>
                <w:numId w:val="23"/>
              </w:numPr>
            </w:pPr>
            <w:r w:rsidRPr="00065867">
              <w:t xml:space="preserve">Heads of Schools, </w:t>
            </w:r>
            <w:r w:rsidR="00166E9A" w:rsidRPr="00065867">
              <w:t xml:space="preserve">Director of the Doctoral College and </w:t>
            </w:r>
            <w:r w:rsidR="000F09C0" w:rsidRPr="00065867">
              <w:t>Director of C</w:t>
            </w:r>
            <w:r w:rsidR="00CE01EB" w:rsidRPr="00065867">
              <w:t xml:space="preserve">entre for </w:t>
            </w:r>
            <w:r w:rsidR="00166E9A" w:rsidRPr="00065867">
              <w:t>H</w:t>
            </w:r>
            <w:r w:rsidR="00CE01EB" w:rsidRPr="00065867">
              <w:t xml:space="preserve">igher </w:t>
            </w:r>
            <w:r w:rsidR="00166E9A" w:rsidRPr="00065867">
              <w:t>E</w:t>
            </w:r>
            <w:r w:rsidR="00CE01EB" w:rsidRPr="00065867">
              <w:t xml:space="preserve">ducation </w:t>
            </w:r>
            <w:r w:rsidR="00166E9A" w:rsidRPr="00065867">
              <w:t>P</w:t>
            </w:r>
            <w:r w:rsidR="00CE01EB" w:rsidRPr="00065867">
              <w:t>ractice</w:t>
            </w:r>
            <w:r w:rsidR="000F09C0" w:rsidRPr="00065867">
              <w:t xml:space="preserve"> </w:t>
            </w:r>
          </w:p>
          <w:p w14:paraId="13F6CC9E" w14:textId="77777777" w:rsidR="009A1BB6" w:rsidRPr="00065867" w:rsidRDefault="009A1BB6" w:rsidP="009A1BB6">
            <w:pPr>
              <w:pStyle w:val="ListParagraph"/>
              <w:numPr>
                <w:ilvl w:val="0"/>
                <w:numId w:val="23"/>
              </w:numPr>
            </w:pPr>
            <w:r w:rsidRPr="00065867">
              <w:t>Members of staff and students within the Faculty.</w:t>
            </w:r>
          </w:p>
          <w:p w14:paraId="1025AD05" w14:textId="77777777" w:rsidR="009A1BB6" w:rsidRPr="00065867" w:rsidRDefault="009A1BB6" w:rsidP="009A1BB6">
            <w:pPr>
              <w:pStyle w:val="ListParagraph"/>
              <w:numPr>
                <w:ilvl w:val="0"/>
                <w:numId w:val="23"/>
              </w:numPr>
            </w:pPr>
            <w:r w:rsidRPr="00065867">
              <w:t xml:space="preserve">Key stakeholders, including funding bodies, relevant professional </w:t>
            </w:r>
            <w:proofErr w:type="gramStart"/>
            <w:r w:rsidRPr="00065867">
              <w:t>bodies</w:t>
            </w:r>
            <w:proofErr w:type="gramEnd"/>
            <w:r w:rsidRPr="00065867">
              <w:t xml:space="preserve"> and societies.</w:t>
            </w:r>
          </w:p>
          <w:p w14:paraId="78A4BFB7" w14:textId="77777777" w:rsidR="009A1BB6" w:rsidRPr="00065867" w:rsidRDefault="009A1BB6" w:rsidP="009A1BB6">
            <w:pPr>
              <w:pStyle w:val="ListParagraph"/>
              <w:numPr>
                <w:ilvl w:val="0"/>
                <w:numId w:val="23"/>
              </w:numPr>
            </w:pPr>
            <w:r w:rsidRPr="00065867">
              <w:t>Equivalent post holders in other Universities, nationally and internationally, including active participation in relevant bodies for Deans of Social Sciences, or similar roles.</w:t>
            </w:r>
          </w:p>
          <w:p w14:paraId="2B15F3BF" w14:textId="77777777" w:rsidR="009A1BB6" w:rsidRPr="00065867" w:rsidRDefault="009A1BB6" w:rsidP="009A1BB6">
            <w:pPr>
              <w:pStyle w:val="ListParagraph"/>
              <w:numPr>
                <w:ilvl w:val="0"/>
                <w:numId w:val="23"/>
              </w:numPr>
            </w:pPr>
            <w:r w:rsidRPr="00065867">
              <w:t xml:space="preserve">Local, </w:t>
            </w:r>
            <w:proofErr w:type="gramStart"/>
            <w:r w:rsidRPr="00065867">
              <w:t>national</w:t>
            </w:r>
            <w:proofErr w:type="gramEnd"/>
            <w:r w:rsidRPr="00065867">
              <w:t xml:space="preserve"> and international government bodies and public organisations, as applicable.</w:t>
            </w:r>
          </w:p>
          <w:p w14:paraId="2C2D4816" w14:textId="77777777" w:rsidR="009A1BB6" w:rsidRPr="00065867" w:rsidRDefault="009A1BB6" w:rsidP="009A1BB6">
            <w:pPr>
              <w:pStyle w:val="ListParagraph"/>
              <w:numPr>
                <w:ilvl w:val="0"/>
                <w:numId w:val="23"/>
              </w:numPr>
            </w:pPr>
            <w:r w:rsidRPr="00065867">
              <w:t>Related commercial organisations, as applicable.</w:t>
            </w:r>
          </w:p>
          <w:p w14:paraId="15BF08B0" w14:textId="1C8D9CBD" w:rsidR="009A1BB6" w:rsidRPr="00065867" w:rsidRDefault="009A1BB6" w:rsidP="009A1BB6">
            <w:pPr>
              <w:pStyle w:val="ListParagraph"/>
              <w:numPr>
                <w:ilvl w:val="0"/>
                <w:numId w:val="23"/>
              </w:numPr>
            </w:pPr>
            <w:r w:rsidRPr="00065867">
              <w:t>Alumni and donors</w:t>
            </w:r>
          </w:p>
        </w:tc>
      </w:tr>
    </w:tbl>
    <w:p w14:paraId="15BF08B2" w14:textId="0804F980" w:rsidR="0012209D" w:rsidRPr="00065867" w:rsidRDefault="0012209D" w:rsidP="0012209D"/>
    <w:tbl>
      <w:tblPr>
        <w:tblStyle w:val="SUTable"/>
        <w:tblW w:w="0" w:type="auto"/>
        <w:tblLook w:val="04A0" w:firstRow="1" w:lastRow="0" w:firstColumn="1" w:lastColumn="0" w:noHBand="0" w:noVBand="1"/>
      </w:tblPr>
      <w:tblGrid>
        <w:gridCol w:w="9627"/>
      </w:tblGrid>
      <w:tr w:rsidR="00065867" w:rsidRPr="00065867" w14:paraId="6C40715D" w14:textId="77777777" w:rsidTr="009F5D83">
        <w:trPr>
          <w:tblHeader/>
        </w:trPr>
        <w:tc>
          <w:tcPr>
            <w:tcW w:w="10137" w:type="dxa"/>
            <w:shd w:val="clear" w:color="auto" w:fill="D9D9D9" w:themeFill="background1" w:themeFillShade="D9"/>
          </w:tcPr>
          <w:p w14:paraId="6AF8F79F" w14:textId="6102D185" w:rsidR="002A22AE" w:rsidRPr="00065867" w:rsidRDefault="002A22AE" w:rsidP="009F5D83">
            <w:r w:rsidRPr="00065867">
              <w:t>Special Requirements of the Role</w:t>
            </w:r>
          </w:p>
        </w:tc>
      </w:tr>
      <w:tr w:rsidR="00065867" w:rsidRPr="00065867" w14:paraId="54B4C512" w14:textId="77777777" w:rsidTr="009F5D83">
        <w:trPr>
          <w:trHeight w:val="1134"/>
        </w:trPr>
        <w:tc>
          <w:tcPr>
            <w:tcW w:w="10137" w:type="dxa"/>
          </w:tcPr>
          <w:p w14:paraId="0634F8B4" w14:textId="77777777" w:rsidR="002A22AE" w:rsidRPr="00065867" w:rsidRDefault="009A1BB6" w:rsidP="009F5D83">
            <w:pPr>
              <w:rPr>
                <w:iCs/>
              </w:rPr>
            </w:pPr>
            <w:r w:rsidRPr="00065867">
              <w:rPr>
                <w:iCs/>
              </w:rPr>
              <w:t>The person appointed, if not already a member of academic staff at the University, will be conferred with an academic title commensurate with their academic standing and discipline.</w:t>
            </w:r>
          </w:p>
          <w:p w14:paraId="110652E4" w14:textId="57F6A3D7" w:rsidR="009A1BB6" w:rsidRPr="00065867" w:rsidRDefault="009A1BB6" w:rsidP="009A1BB6">
            <w:pPr>
              <w:rPr>
                <w:iCs/>
              </w:rPr>
            </w:pPr>
            <w:r w:rsidRPr="00065867">
              <w:rPr>
                <w:iCs/>
              </w:rPr>
              <w:t xml:space="preserve">It is anticipated that the post holder will undertake the role of Dean of Faculty for a period of five years initially, which is extendible up to a maximum of eight years. At the end of this tenure, they will return to </w:t>
            </w:r>
            <w:r w:rsidR="005357CF" w:rsidRPr="00065867">
              <w:rPr>
                <w:iCs/>
              </w:rPr>
              <w:t>a</w:t>
            </w:r>
            <w:r w:rsidRPr="00065867">
              <w:rPr>
                <w:iCs/>
              </w:rPr>
              <w:t xml:space="preserve"> substantive position within the University, whilst also having the opportunity to be considered for other roles with enhanced managerial responsibility.</w:t>
            </w:r>
          </w:p>
          <w:p w14:paraId="7F49FE7C" w14:textId="4AEEB268" w:rsidR="00385BC3" w:rsidRPr="00065867" w:rsidRDefault="008D1148" w:rsidP="009A1BB6">
            <w:pPr>
              <w:rPr>
                <w:i/>
                <w:iCs/>
              </w:rPr>
            </w:pPr>
            <w:r w:rsidRPr="00065867">
              <w:t xml:space="preserve">It is expected that the person appointed </w:t>
            </w:r>
            <w:r w:rsidR="00076C74" w:rsidRPr="00065867">
              <w:t>will continue with and d</w:t>
            </w:r>
            <w:r w:rsidR="00385BC3" w:rsidRPr="00065867">
              <w:t xml:space="preserve">evelop </w:t>
            </w:r>
            <w:r w:rsidR="00076C74" w:rsidRPr="00065867">
              <w:t xml:space="preserve">their </w:t>
            </w:r>
            <w:r w:rsidR="00385BC3" w:rsidRPr="00065867">
              <w:t>own research ensuring academic standing and prestige within area of specialism continues.</w:t>
            </w:r>
          </w:p>
        </w:tc>
      </w:tr>
    </w:tbl>
    <w:p w14:paraId="41E46403" w14:textId="77777777" w:rsidR="002A22AE" w:rsidRDefault="002A22AE" w:rsidP="0012209D"/>
    <w:p w14:paraId="15BF08B3" w14:textId="77777777" w:rsidR="00013C10" w:rsidRDefault="00013C10" w:rsidP="0012209D"/>
    <w:p w14:paraId="29E0DB68" w14:textId="77777777" w:rsidR="009A1BB6" w:rsidRDefault="009A1BB6" w:rsidP="0012209D">
      <w:pPr>
        <w:rPr>
          <w:b/>
          <w:bCs/>
          <w:sz w:val="22"/>
          <w:szCs w:val="24"/>
        </w:rPr>
      </w:pPr>
      <w:r>
        <w:rPr>
          <w:b/>
          <w:bCs/>
          <w:sz w:val="22"/>
          <w:szCs w:val="24"/>
        </w:rPr>
        <w:br w:type="page"/>
      </w:r>
    </w:p>
    <w:p w14:paraId="15BF08B4" w14:textId="2EEF3569" w:rsidR="00013C10" w:rsidRDefault="00013C10" w:rsidP="0012209D">
      <w:pPr>
        <w:rPr>
          <w:b/>
          <w:bCs/>
          <w:sz w:val="22"/>
          <w:szCs w:val="24"/>
        </w:rPr>
      </w:pPr>
      <w:r w:rsidRPr="00013C10">
        <w:rPr>
          <w:b/>
          <w:bCs/>
          <w:sz w:val="22"/>
          <w:szCs w:val="24"/>
        </w:rPr>
        <w:lastRenderedPageBreak/>
        <w:t>PERSON SPECIFICATION</w:t>
      </w:r>
    </w:p>
    <w:p w14:paraId="1925DE57" w14:textId="77777777" w:rsidR="00F918FB" w:rsidRDefault="00F918FB" w:rsidP="0012209D">
      <w:pPr>
        <w:rPr>
          <w:b/>
          <w:bCs/>
          <w:sz w:val="22"/>
          <w:szCs w:val="24"/>
        </w:rPr>
      </w:pPr>
    </w:p>
    <w:tbl>
      <w:tblPr>
        <w:tblStyle w:val="SUTable"/>
        <w:tblW w:w="0" w:type="auto"/>
        <w:tblLook w:val="04A0" w:firstRow="1" w:lastRow="0" w:firstColumn="1" w:lastColumn="0" w:noHBand="0" w:noVBand="1"/>
      </w:tblPr>
      <w:tblGrid>
        <w:gridCol w:w="1610"/>
        <w:gridCol w:w="6607"/>
        <w:gridCol w:w="1410"/>
      </w:tblGrid>
      <w:tr w:rsidR="0028437E" w14:paraId="15BF08BA" w14:textId="77777777" w:rsidTr="008F1399">
        <w:tc>
          <w:tcPr>
            <w:tcW w:w="1610" w:type="dxa"/>
            <w:shd w:val="clear" w:color="auto" w:fill="D9D9D9" w:themeFill="background1" w:themeFillShade="D9"/>
            <w:vAlign w:val="center"/>
          </w:tcPr>
          <w:p w14:paraId="15BF08B6" w14:textId="3F652E2F" w:rsidR="0028437E" w:rsidRPr="00013C10" w:rsidRDefault="0028437E" w:rsidP="00321CAA">
            <w:pPr>
              <w:rPr>
                <w:bCs/>
              </w:rPr>
            </w:pPr>
            <w:r w:rsidRPr="00013C10">
              <w:rPr>
                <w:bCs/>
              </w:rPr>
              <w:t>Criteria</w:t>
            </w:r>
          </w:p>
        </w:tc>
        <w:tc>
          <w:tcPr>
            <w:tcW w:w="6607" w:type="dxa"/>
            <w:shd w:val="clear" w:color="auto" w:fill="D9D9D9" w:themeFill="background1" w:themeFillShade="D9"/>
            <w:vAlign w:val="center"/>
          </w:tcPr>
          <w:p w14:paraId="15BF08B7" w14:textId="77777777" w:rsidR="0028437E" w:rsidRPr="00013C10" w:rsidRDefault="0028437E" w:rsidP="00321CAA">
            <w:pPr>
              <w:rPr>
                <w:bCs/>
              </w:rPr>
            </w:pPr>
            <w:r w:rsidRPr="00013C10">
              <w:rPr>
                <w:bCs/>
              </w:rPr>
              <w:t>Essential</w:t>
            </w:r>
          </w:p>
        </w:tc>
        <w:tc>
          <w:tcPr>
            <w:tcW w:w="1410" w:type="dxa"/>
            <w:shd w:val="clear" w:color="auto" w:fill="D9D9D9" w:themeFill="background1" w:themeFillShade="D9"/>
            <w:vAlign w:val="center"/>
          </w:tcPr>
          <w:p w14:paraId="15BF08B8" w14:textId="28A0BF39" w:rsidR="0028437E" w:rsidRPr="00013C10" w:rsidRDefault="008F1399" w:rsidP="008F1399">
            <w:pPr>
              <w:rPr>
                <w:bCs/>
              </w:rPr>
            </w:pPr>
            <w:r>
              <w:rPr>
                <w:bCs/>
              </w:rPr>
              <w:t>How to be assessed</w:t>
            </w:r>
          </w:p>
        </w:tc>
      </w:tr>
      <w:tr w:rsidR="0028437E" w14:paraId="15BF08BF" w14:textId="77777777" w:rsidTr="008F1399">
        <w:tc>
          <w:tcPr>
            <w:tcW w:w="1610" w:type="dxa"/>
          </w:tcPr>
          <w:p w14:paraId="15BF08BB" w14:textId="1D1872F5" w:rsidR="0028437E" w:rsidRPr="0028437E" w:rsidRDefault="0028437E" w:rsidP="0028437E">
            <w:pPr>
              <w:rPr>
                <w:b/>
                <w:bCs/>
              </w:rPr>
            </w:pPr>
            <w:r w:rsidRPr="0028437E">
              <w:rPr>
                <w:b/>
                <w:bCs/>
              </w:rPr>
              <w:t xml:space="preserve">Qualifications, </w:t>
            </w:r>
            <w:proofErr w:type="gramStart"/>
            <w:r w:rsidRPr="0028437E">
              <w:rPr>
                <w:b/>
                <w:bCs/>
              </w:rPr>
              <w:t>knowledge</w:t>
            </w:r>
            <w:proofErr w:type="gramEnd"/>
            <w:r w:rsidRPr="0028437E">
              <w:rPr>
                <w:b/>
                <w:bCs/>
              </w:rPr>
              <w:t xml:space="preserve"> and experience</w:t>
            </w:r>
          </w:p>
        </w:tc>
        <w:tc>
          <w:tcPr>
            <w:tcW w:w="6607" w:type="dxa"/>
          </w:tcPr>
          <w:p w14:paraId="19EE3EB7" w14:textId="434FDF5F" w:rsidR="009A1BB6" w:rsidRDefault="009A1BB6" w:rsidP="008F1399">
            <w:pPr>
              <w:spacing w:after="120"/>
            </w:pPr>
            <w:r>
              <w:t xml:space="preserve">A higher degree, </w:t>
            </w:r>
            <w:proofErr w:type="gramStart"/>
            <w:r>
              <w:t>PhD</w:t>
            </w:r>
            <w:proofErr w:type="gramEnd"/>
            <w:r>
              <w:t xml:space="preserve"> or professional doctorate in a relevant academic area.</w:t>
            </w:r>
          </w:p>
          <w:p w14:paraId="6B266266" w14:textId="3F89350E" w:rsidR="009A1BB6" w:rsidRDefault="009A1BB6" w:rsidP="008F1399">
            <w:pPr>
              <w:spacing w:after="120"/>
            </w:pPr>
            <w:r>
              <w:t>A proven track record of outstanding academic achievement, of international standing, in a field of expertise relevant to the Faculty, potentially recognised by membership of a relevant prestigious society or organisation.</w:t>
            </w:r>
          </w:p>
          <w:p w14:paraId="3BF83500" w14:textId="2C62E2AB" w:rsidR="009A1BB6" w:rsidRDefault="009A1BB6" w:rsidP="008F1399">
            <w:pPr>
              <w:spacing w:after="120"/>
            </w:pPr>
            <w:r>
              <w:t>A proven track record of providing strategic and visionary direction and maximising performance in a complex organisation.</w:t>
            </w:r>
          </w:p>
          <w:p w14:paraId="375298CE" w14:textId="1AF7E92C" w:rsidR="009A1BB6" w:rsidRDefault="009A1BB6" w:rsidP="008F1399">
            <w:pPr>
              <w:spacing w:after="120"/>
            </w:pPr>
            <w:r>
              <w:t>A proven track record of successfully inspiring and leading a faculty or school of significant complexity in relevant disciplines.</w:t>
            </w:r>
          </w:p>
          <w:p w14:paraId="15BF08BC" w14:textId="388A9A82" w:rsidR="0028437E" w:rsidRDefault="009A1BB6" w:rsidP="008F1399">
            <w:pPr>
              <w:spacing w:after="120"/>
            </w:pPr>
            <w:r>
              <w:t>Knowledge and awareness of the broad context of Higher Education and government policy</w:t>
            </w:r>
            <w:r w:rsidR="008F1399">
              <w:t xml:space="preserve"> in the UK, and the current and </w:t>
            </w:r>
            <w:r>
              <w:t>forthcoming challenges and opportunities it presents.</w:t>
            </w:r>
          </w:p>
        </w:tc>
        <w:tc>
          <w:tcPr>
            <w:tcW w:w="1410" w:type="dxa"/>
          </w:tcPr>
          <w:p w14:paraId="15BF08BD" w14:textId="1492866D" w:rsidR="0028437E" w:rsidRDefault="008F1399" w:rsidP="0028437E">
            <w:r>
              <w:t>CV and application</w:t>
            </w:r>
          </w:p>
        </w:tc>
      </w:tr>
      <w:tr w:rsidR="002A22AE" w14:paraId="4B018A5A" w14:textId="77777777" w:rsidTr="008F1399">
        <w:tc>
          <w:tcPr>
            <w:tcW w:w="1610" w:type="dxa"/>
          </w:tcPr>
          <w:p w14:paraId="0F3358C7" w14:textId="77777777" w:rsidR="002A22AE" w:rsidRDefault="002A22AE" w:rsidP="002A22AE">
            <w:pPr>
              <w:rPr>
                <w:b/>
              </w:rPr>
            </w:pPr>
            <w:r>
              <w:rPr>
                <w:b/>
              </w:rPr>
              <w:t xml:space="preserve">Expected Behaviours </w:t>
            </w:r>
          </w:p>
          <w:p w14:paraId="5DC2CA75" w14:textId="77777777" w:rsidR="002A22AE" w:rsidRDefault="002A22AE" w:rsidP="002A22AE">
            <w:pPr>
              <w:rPr>
                <w:b/>
              </w:rPr>
            </w:pPr>
          </w:p>
          <w:p w14:paraId="78853A7B" w14:textId="77777777" w:rsidR="002A22AE" w:rsidRDefault="002A22AE" w:rsidP="002A22AE">
            <w:pPr>
              <w:rPr>
                <w:b/>
              </w:rPr>
            </w:pPr>
          </w:p>
          <w:p w14:paraId="68E9D082" w14:textId="1311AD8D" w:rsidR="002A22AE" w:rsidRPr="00FD5B0E" w:rsidRDefault="002A22AE" w:rsidP="002A22AE"/>
        </w:tc>
        <w:tc>
          <w:tcPr>
            <w:tcW w:w="6607" w:type="dxa"/>
          </w:tcPr>
          <w:p w14:paraId="6D8547AC" w14:textId="5550AE89" w:rsidR="002A22AE" w:rsidRDefault="002A22AE" w:rsidP="002A22AE">
            <w:pPr>
              <w:spacing w:before="0" w:after="120"/>
            </w:pPr>
            <w:r>
              <w:t xml:space="preserve">Apply and actively promote equality, </w:t>
            </w:r>
            <w:proofErr w:type="gramStart"/>
            <w:r>
              <w:t>diversity</w:t>
            </w:r>
            <w:proofErr w:type="gramEnd"/>
            <w:r>
              <w:t xml:space="preserve"> and inclusion principles to the responsibilities of the role. </w:t>
            </w:r>
          </w:p>
          <w:p w14:paraId="6CF0F579" w14:textId="09C04DF0" w:rsidR="002A22AE" w:rsidRDefault="002A22AE" w:rsidP="0058536B">
            <w:pPr>
              <w:overflowPunct/>
              <w:autoSpaceDE/>
              <w:autoSpaceDN/>
              <w:adjustRightInd/>
              <w:spacing w:before="0" w:after="120"/>
              <w:textAlignment w:val="auto"/>
            </w:pPr>
            <w:r w:rsidRPr="00734365">
              <w:t xml:space="preserve">As a Line Manager role </w:t>
            </w:r>
            <w:proofErr w:type="gramStart"/>
            <w:r w:rsidRPr="00734365">
              <w:t>model</w:t>
            </w:r>
            <w:proofErr w:type="gramEnd"/>
            <w:r w:rsidRPr="00734365">
              <w:t xml:space="preserve"> the</w:t>
            </w:r>
            <w:r w:rsidRPr="002A22AE">
              <w:rPr>
                <w:color w:val="FF0000"/>
              </w:rPr>
              <w:t xml:space="preserve"> </w:t>
            </w:r>
            <w:r w:rsidRPr="00CE158A">
              <w:t>Southampton Behaviours and work with the management team to embed them as a way of working within the faculty</w:t>
            </w:r>
            <w:r w:rsidR="00A76731" w:rsidRPr="00CE158A" w:rsidDel="00A76731">
              <w:t xml:space="preserve"> </w:t>
            </w:r>
            <w:r w:rsidR="00A76731">
              <w:t>and</w:t>
            </w:r>
            <w:r w:rsidR="00AE1634">
              <w:t xml:space="preserve"> </w:t>
            </w:r>
            <w:r w:rsidRPr="00CE158A">
              <w:t>school</w:t>
            </w:r>
            <w:r w:rsidR="00A76731">
              <w:t>s</w:t>
            </w:r>
            <w:r w:rsidRPr="00CE158A">
              <w:t xml:space="preserve">. </w:t>
            </w:r>
          </w:p>
        </w:tc>
        <w:tc>
          <w:tcPr>
            <w:tcW w:w="1410" w:type="dxa"/>
          </w:tcPr>
          <w:p w14:paraId="73061286" w14:textId="0445E59D" w:rsidR="002A22AE" w:rsidRDefault="008F1399" w:rsidP="002A22AE">
            <w:pPr>
              <w:spacing w:before="0" w:after="120"/>
            </w:pPr>
            <w:r>
              <w:t>CV and selection process</w:t>
            </w:r>
          </w:p>
        </w:tc>
      </w:tr>
      <w:tr w:rsidR="002A22AE" w14:paraId="06CE9A2A" w14:textId="77777777" w:rsidTr="008F1399">
        <w:tc>
          <w:tcPr>
            <w:tcW w:w="1610" w:type="dxa"/>
          </w:tcPr>
          <w:p w14:paraId="1F89260B" w14:textId="610B29BF" w:rsidR="002A22AE" w:rsidRPr="00FD5B0E" w:rsidRDefault="008F1399" w:rsidP="002A22AE">
            <w:r>
              <w:rPr>
                <w:b/>
              </w:rPr>
              <w:t xml:space="preserve">Leadership, </w:t>
            </w:r>
            <w:proofErr w:type="gramStart"/>
            <w:r>
              <w:rPr>
                <w:b/>
              </w:rPr>
              <w:t>m</w:t>
            </w:r>
            <w:r w:rsidR="002A22AE" w:rsidRPr="00504B61">
              <w:rPr>
                <w:b/>
              </w:rPr>
              <w:t>anagement</w:t>
            </w:r>
            <w:proofErr w:type="gramEnd"/>
            <w:r w:rsidR="002A22AE" w:rsidRPr="00504B61">
              <w:rPr>
                <w:b/>
              </w:rPr>
              <w:t xml:space="preserve"> and teamwork</w:t>
            </w:r>
          </w:p>
        </w:tc>
        <w:tc>
          <w:tcPr>
            <w:tcW w:w="6607" w:type="dxa"/>
          </w:tcPr>
          <w:p w14:paraId="6B2EB668" w14:textId="0CBC6579" w:rsidR="008F1399" w:rsidRDefault="008F1399" w:rsidP="008F1399">
            <w:pPr>
              <w:spacing w:after="120"/>
            </w:pPr>
            <w:r>
              <w:t xml:space="preserve">A highly visible, </w:t>
            </w:r>
            <w:proofErr w:type="gramStart"/>
            <w:r>
              <w:t>transparent</w:t>
            </w:r>
            <w:proofErr w:type="gramEnd"/>
            <w:r>
              <w:t xml:space="preserve"> and accountable leadership style, which is underpinned by strongly held values around excellence, community, integrity, fairness, openness, diversity, equality and creativity.</w:t>
            </w:r>
          </w:p>
          <w:p w14:paraId="0D782D0A" w14:textId="2183D5FC" w:rsidR="008F1399" w:rsidRDefault="008F1399" w:rsidP="008F1399">
            <w:pPr>
              <w:spacing w:after="120"/>
            </w:pPr>
            <w:r>
              <w:t xml:space="preserve">The ability to set the vision and direction of the Faculty and inspire, </w:t>
            </w:r>
            <w:proofErr w:type="gramStart"/>
            <w:r>
              <w:t>motivate</w:t>
            </w:r>
            <w:proofErr w:type="gramEnd"/>
            <w:r>
              <w:t xml:space="preserve"> and lead the Faculty to fulfil that vision and strive for excellence.</w:t>
            </w:r>
          </w:p>
          <w:p w14:paraId="6D6DA717" w14:textId="0D4645DB" w:rsidR="008F1399" w:rsidRDefault="008F1399" w:rsidP="008F1399">
            <w:pPr>
              <w:spacing w:after="120"/>
            </w:pPr>
            <w:r>
              <w:t>The confidence and courage to take on challenges; own and implement difficult decisions and be accountable for their own actions.</w:t>
            </w:r>
          </w:p>
          <w:p w14:paraId="679C3521" w14:textId="11D29718" w:rsidR="008F1399" w:rsidRDefault="008F1399" w:rsidP="008F1399">
            <w:pPr>
              <w:spacing w:after="120"/>
            </w:pPr>
            <w:r>
              <w:t>The skills to build, support and maintain a high performing leadership team and to lead a transparent approach to strategic planning.</w:t>
            </w:r>
          </w:p>
          <w:p w14:paraId="4E3B1F4A" w14:textId="3983EA18" w:rsidR="008F1399" w:rsidRDefault="008F1399" w:rsidP="008F1399">
            <w:pPr>
              <w:spacing w:after="120"/>
            </w:pPr>
            <w:r>
              <w:t>A proven track record of achieving performance targets and inspiring others to meet their performance targets.</w:t>
            </w:r>
          </w:p>
          <w:p w14:paraId="33111A28" w14:textId="253F3993" w:rsidR="008F1399" w:rsidRDefault="008F1399" w:rsidP="008F1399">
            <w:pPr>
              <w:spacing w:after="120"/>
            </w:pPr>
            <w:r>
              <w:t>The ability to actively contribute in the running of the University as a senior executive as appropriate.</w:t>
            </w:r>
          </w:p>
          <w:p w14:paraId="6B853675" w14:textId="2CC05E7D" w:rsidR="002A22AE" w:rsidRDefault="008F1399" w:rsidP="008F1399">
            <w:pPr>
              <w:spacing w:after="120"/>
            </w:pPr>
            <w:r>
              <w:t>The ability to manage complex change, engaging with staff and stakeholders throughout the whole process.</w:t>
            </w:r>
          </w:p>
        </w:tc>
        <w:tc>
          <w:tcPr>
            <w:tcW w:w="1410" w:type="dxa"/>
          </w:tcPr>
          <w:p w14:paraId="708704C3" w14:textId="3FF65D28" w:rsidR="002A22AE" w:rsidRDefault="008F1399" w:rsidP="00CE158A">
            <w:pPr>
              <w:spacing w:before="0" w:after="120"/>
            </w:pPr>
            <w:r>
              <w:t>CV and selection process</w:t>
            </w:r>
          </w:p>
        </w:tc>
      </w:tr>
      <w:tr w:rsidR="002A22AE" w14:paraId="7CAE23AF" w14:textId="77777777" w:rsidTr="008F1399">
        <w:tc>
          <w:tcPr>
            <w:tcW w:w="1610" w:type="dxa"/>
          </w:tcPr>
          <w:p w14:paraId="13671E3C" w14:textId="4FD5EAF2" w:rsidR="002A22AE" w:rsidRPr="00FD5B0E" w:rsidRDefault="002A22AE" w:rsidP="002A22AE">
            <w:r w:rsidRPr="00504B61">
              <w:rPr>
                <w:b/>
              </w:rPr>
              <w:t>Communicating and influencing</w:t>
            </w:r>
          </w:p>
        </w:tc>
        <w:tc>
          <w:tcPr>
            <w:tcW w:w="6607" w:type="dxa"/>
          </w:tcPr>
          <w:p w14:paraId="1F5A07BE" w14:textId="4C3B343B" w:rsidR="008F1399" w:rsidRDefault="008F1399" w:rsidP="008F1399">
            <w:pPr>
              <w:rPr>
                <w:szCs w:val="18"/>
              </w:rPr>
            </w:pPr>
            <w:r>
              <w:rPr>
                <w:szCs w:val="18"/>
              </w:rPr>
              <w:t>Highly developed interpersonal and communication skills and the ability to influence, collaborate and interact effectively with a range of stakeholders including staff (at all levels), students and external stakeholders.</w:t>
            </w:r>
          </w:p>
          <w:p w14:paraId="095348E5" w14:textId="77777777" w:rsidR="008F1399" w:rsidRDefault="008F1399" w:rsidP="008F1399">
            <w:pPr>
              <w:rPr>
                <w:szCs w:val="18"/>
              </w:rPr>
            </w:pPr>
            <w:r>
              <w:rPr>
                <w:szCs w:val="18"/>
              </w:rPr>
              <w:t xml:space="preserve">The ability to cultivate strong networks and build links with the wider community and with business, </w:t>
            </w:r>
            <w:proofErr w:type="gramStart"/>
            <w:r>
              <w:rPr>
                <w:szCs w:val="18"/>
              </w:rPr>
              <w:t>industry</w:t>
            </w:r>
            <w:proofErr w:type="gramEnd"/>
            <w:r>
              <w:rPr>
                <w:szCs w:val="18"/>
              </w:rPr>
              <w:t xml:space="preserve"> and other stakeholders and to represent the University nationally and internationally. </w:t>
            </w:r>
          </w:p>
          <w:p w14:paraId="2838F944" w14:textId="77777777" w:rsidR="008F1399" w:rsidRDefault="008F1399" w:rsidP="008F1399">
            <w:pPr>
              <w:rPr>
                <w:szCs w:val="18"/>
              </w:rPr>
            </w:pPr>
            <w:r>
              <w:rPr>
                <w:szCs w:val="18"/>
              </w:rPr>
              <w:t>The ability to be an articulate advocate for the Faculty and able to promote its interests.</w:t>
            </w:r>
          </w:p>
          <w:p w14:paraId="75FFA881" w14:textId="57E285EF" w:rsidR="002A22AE" w:rsidRDefault="008F1399" w:rsidP="008F1399">
            <w:r>
              <w:rPr>
                <w:szCs w:val="18"/>
              </w:rPr>
              <w:t>The ability to achieve results through persuasion and negotiation where no direct authority exists.</w:t>
            </w:r>
          </w:p>
        </w:tc>
        <w:tc>
          <w:tcPr>
            <w:tcW w:w="1410" w:type="dxa"/>
          </w:tcPr>
          <w:p w14:paraId="6BF04C5B" w14:textId="4D5DB13E" w:rsidR="002A22AE" w:rsidRDefault="008F1399" w:rsidP="002A22AE">
            <w:r>
              <w:t>CV and selection process</w:t>
            </w:r>
          </w:p>
        </w:tc>
      </w:tr>
      <w:tr w:rsidR="008F1399" w14:paraId="1C3C9C93" w14:textId="77777777" w:rsidTr="008F1399">
        <w:tc>
          <w:tcPr>
            <w:tcW w:w="1610" w:type="dxa"/>
          </w:tcPr>
          <w:p w14:paraId="79E1CB1E" w14:textId="6F7A54B0" w:rsidR="008F1399" w:rsidRPr="00504B61" w:rsidRDefault="008F1399" w:rsidP="008F1399">
            <w:pPr>
              <w:rPr>
                <w:b/>
              </w:rPr>
            </w:pPr>
            <w:r>
              <w:rPr>
                <w:b/>
              </w:rPr>
              <w:t xml:space="preserve">Other skills and </w:t>
            </w:r>
            <w:r w:rsidRPr="008F1399">
              <w:rPr>
                <w:b/>
              </w:rPr>
              <w:t>behaviours</w:t>
            </w:r>
          </w:p>
        </w:tc>
        <w:tc>
          <w:tcPr>
            <w:tcW w:w="6607" w:type="dxa"/>
          </w:tcPr>
          <w:p w14:paraId="63FFBFE4" w14:textId="46801FB8" w:rsidR="008F1399" w:rsidRPr="008F1399" w:rsidRDefault="008F1399" w:rsidP="008F1399">
            <w:pPr>
              <w:spacing w:after="120"/>
              <w:rPr>
                <w:szCs w:val="18"/>
              </w:rPr>
            </w:pPr>
            <w:r w:rsidRPr="008F1399">
              <w:rPr>
                <w:szCs w:val="18"/>
              </w:rPr>
              <w:t>Financial acumen with the ability to</w:t>
            </w:r>
            <w:r>
              <w:rPr>
                <w:szCs w:val="18"/>
              </w:rPr>
              <w:t xml:space="preserve"> increase or develop additional </w:t>
            </w:r>
            <w:r w:rsidRPr="008F1399">
              <w:rPr>
                <w:szCs w:val="18"/>
              </w:rPr>
              <w:t>sources of income through edu</w:t>
            </w:r>
            <w:r>
              <w:rPr>
                <w:szCs w:val="18"/>
              </w:rPr>
              <w:t xml:space="preserve">cation, </w:t>
            </w:r>
            <w:proofErr w:type="gramStart"/>
            <w:r>
              <w:rPr>
                <w:szCs w:val="18"/>
              </w:rPr>
              <w:t>research</w:t>
            </w:r>
            <w:proofErr w:type="gramEnd"/>
            <w:r>
              <w:rPr>
                <w:szCs w:val="18"/>
              </w:rPr>
              <w:t xml:space="preserve"> and enterprise </w:t>
            </w:r>
            <w:r w:rsidRPr="008F1399">
              <w:rPr>
                <w:szCs w:val="18"/>
              </w:rPr>
              <w:t>activities.</w:t>
            </w:r>
          </w:p>
          <w:p w14:paraId="657173F4" w14:textId="77777777" w:rsidR="008F1399" w:rsidRPr="008F1399" w:rsidRDefault="008F1399" w:rsidP="008F1399">
            <w:pPr>
              <w:spacing w:after="120"/>
              <w:rPr>
                <w:szCs w:val="18"/>
              </w:rPr>
            </w:pPr>
            <w:r w:rsidRPr="008F1399">
              <w:rPr>
                <w:szCs w:val="18"/>
              </w:rPr>
              <w:t>Sound judgement and practical problem solving.</w:t>
            </w:r>
          </w:p>
          <w:p w14:paraId="4C7A4795" w14:textId="77777777" w:rsidR="008F1399" w:rsidRPr="008F1399" w:rsidRDefault="008F1399" w:rsidP="008F1399">
            <w:pPr>
              <w:spacing w:after="120"/>
              <w:rPr>
                <w:szCs w:val="18"/>
              </w:rPr>
            </w:pPr>
            <w:r w:rsidRPr="008F1399">
              <w:rPr>
                <w:szCs w:val="18"/>
              </w:rPr>
              <w:t>An understanding of Higher Education funding.</w:t>
            </w:r>
          </w:p>
          <w:p w14:paraId="7D363B31" w14:textId="0535DA03" w:rsidR="008F1399" w:rsidRPr="008F1399" w:rsidRDefault="008F1399" w:rsidP="008F1399">
            <w:pPr>
              <w:spacing w:after="120"/>
              <w:rPr>
                <w:szCs w:val="18"/>
              </w:rPr>
            </w:pPr>
            <w:r w:rsidRPr="008F1399">
              <w:rPr>
                <w:szCs w:val="18"/>
              </w:rPr>
              <w:lastRenderedPageBreak/>
              <w:t>An ability to achieve integ</w:t>
            </w:r>
            <w:r>
              <w:rPr>
                <w:szCs w:val="18"/>
              </w:rPr>
              <w:t xml:space="preserve">ration of and synergies between </w:t>
            </w:r>
            <w:r w:rsidRPr="008F1399">
              <w:rPr>
                <w:szCs w:val="18"/>
              </w:rPr>
              <w:t xml:space="preserve">research, </w:t>
            </w:r>
            <w:proofErr w:type="gramStart"/>
            <w:r w:rsidRPr="008F1399">
              <w:rPr>
                <w:szCs w:val="18"/>
              </w:rPr>
              <w:t>enterprise</w:t>
            </w:r>
            <w:proofErr w:type="gramEnd"/>
            <w:r w:rsidRPr="008F1399">
              <w:rPr>
                <w:szCs w:val="18"/>
              </w:rPr>
              <w:t xml:space="preserve"> and teaching.</w:t>
            </w:r>
          </w:p>
          <w:p w14:paraId="52375F0B" w14:textId="15A4014B" w:rsidR="008F1399" w:rsidRPr="008F1399" w:rsidRDefault="008F1399" w:rsidP="008F1399">
            <w:pPr>
              <w:spacing w:after="120"/>
              <w:rPr>
                <w:szCs w:val="18"/>
              </w:rPr>
            </w:pPr>
            <w:r w:rsidRPr="008F1399">
              <w:rPr>
                <w:szCs w:val="18"/>
              </w:rPr>
              <w:t>A team player with the ability to w</w:t>
            </w:r>
            <w:r>
              <w:rPr>
                <w:szCs w:val="18"/>
              </w:rPr>
              <w:t xml:space="preserve">ork with others to ensure staff </w:t>
            </w:r>
            <w:r w:rsidRPr="008F1399">
              <w:rPr>
                <w:szCs w:val="18"/>
              </w:rPr>
              <w:t>and resources are deployed effectively.</w:t>
            </w:r>
          </w:p>
          <w:p w14:paraId="680CA4B6" w14:textId="14A0A5DB" w:rsidR="008F1399" w:rsidRPr="008F1399" w:rsidRDefault="008F1399" w:rsidP="008F1399">
            <w:pPr>
              <w:spacing w:after="120"/>
              <w:rPr>
                <w:szCs w:val="18"/>
              </w:rPr>
            </w:pPr>
            <w:r w:rsidRPr="008F1399">
              <w:rPr>
                <w:szCs w:val="18"/>
              </w:rPr>
              <w:t>An external profile, with evidence of committee</w:t>
            </w:r>
            <w:r>
              <w:rPr>
                <w:szCs w:val="18"/>
              </w:rPr>
              <w:t xml:space="preserve"> and other expert </w:t>
            </w:r>
            <w:r w:rsidRPr="008F1399">
              <w:rPr>
                <w:szCs w:val="18"/>
              </w:rPr>
              <w:t>work.</w:t>
            </w:r>
          </w:p>
          <w:p w14:paraId="663A2620" w14:textId="40D2BF5D" w:rsidR="008F1399" w:rsidRDefault="008F1399" w:rsidP="008F1399">
            <w:pPr>
              <w:spacing w:after="120"/>
              <w:rPr>
                <w:szCs w:val="18"/>
              </w:rPr>
            </w:pPr>
            <w:r w:rsidRPr="008F1399">
              <w:rPr>
                <w:szCs w:val="18"/>
              </w:rPr>
              <w:t>Be proactive in developing oth</w:t>
            </w:r>
            <w:r>
              <w:rPr>
                <w:szCs w:val="18"/>
              </w:rPr>
              <w:t xml:space="preserve">ers and to celebrate success in </w:t>
            </w:r>
            <w:r w:rsidRPr="008F1399">
              <w:rPr>
                <w:szCs w:val="18"/>
              </w:rPr>
              <w:t>others.</w:t>
            </w:r>
          </w:p>
        </w:tc>
        <w:tc>
          <w:tcPr>
            <w:tcW w:w="1410" w:type="dxa"/>
          </w:tcPr>
          <w:p w14:paraId="5FD57D81" w14:textId="7AE9147F" w:rsidR="008F1399" w:rsidRDefault="008F1399" w:rsidP="002A22AE">
            <w:r>
              <w:lastRenderedPageBreak/>
              <w:t>CV and selection process</w:t>
            </w:r>
          </w:p>
        </w:tc>
      </w:tr>
      <w:tr w:rsidR="002A22AE" w14:paraId="47E8BB8B" w14:textId="77777777" w:rsidTr="008F1399">
        <w:tc>
          <w:tcPr>
            <w:tcW w:w="1610" w:type="dxa"/>
          </w:tcPr>
          <w:p w14:paraId="719B3161" w14:textId="7970C84D" w:rsidR="002A22AE" w:rsidRPr="00FD5B0E" w:rsidRDefault="002A22AE" w:rsidP="002A22AE">
            <w:r w:rsidRPr="00504B61">
              <w:rPr>
                <w:b/>
              </w:rPr>
              <w:t>Special requirements</w:t>
            </w:r>
            <w:r>
              <w:rPr>
                <w:b/>
              </w:rPr>
              <w:t xml:space="preserve"> </w:t>
            </w:r>
            <w:r w:rsidR="00CE158A">
              <w:rPr>
                <w:b/>
              </w:rPr>
              <w:t>(</w:t>
            </w:r>
            <w:r>
              <w:rPr>
                <w:b/>
              </w:rPr>
              <w:t>of the postholder</w:t>
            </w:r>
            <w:r w:rsidR="00CE158A">
              <w:rPr>
                <w:b/>
              </w:rPr>
              <w:t>)</w:t>
            </w:r>
          </w:p>
        </w:tc>
        <w:tc>
          <w:tcPr>
            <w:tcW w:w="6607" w:type="dxa"/>
          </w:tcPr>
          <w:p w14:paraId="69C24AD3" w14:textId="7F44E73A" w:rsidR="002A22AE" w:rsidRPr="008F1399" w:rsidRDefault="008F1399" w:rsidP="002A22AE">
            <w:pPr>
              <w:rPr>
                <w:iCs/>
                <w:color w:val="FF0000"/>
              </w:rPr>
            </w:pPr>
            <w:r>
              <w:rPr>
                <w:szCs w:val="18"/>
              </w:rPr>
              <w:t xml:space="preserve">A personal commitment to excellence, widening participation, </w:t>
            </w:r>
            <w:r w:rsidRPr="0022090A">
              <w:rPr>
                <w:szCs w:val="18"/>
              </w:rPr>
              <w:t>diversity and inclusion and to promoting the</w:t>
            </w:r>
            <w:r>
              <w:rPr>
                <w:rFonts w:ascii="Lucida Sans Unicode" w:hAnsi="Lucida Sans Unicode" w:cs="Lucida Sans Unicode"/>
                <w:szCs w:val="18"/>
              </w:rPr>
              <w:t xml:space="preserve"> ‘</w:t>
            </w:r>
            <w:hyperlink r:id="rId11" w:history="1">
              <w:r w:rsidRPr="008F1399">
                <w:rPr>
                  <w:rStyle w:val="Hyperlink"/>
                  <w:szCs w:val="18"/>
                </w:rPr>
                <w:t>Southampton Behaviours</w:t>
              </w:r>
            </w:hyperlink>
            <w:r>
              <w:rPr>
                <w:rFonts w:ascii="Lucida Sans Unicode" w:eastAsia="Lucida Sans Unicode" w:hAnsi="Lucida Sans Unicode" w:cs="Lucida Sans Unicode"/>
                <w:szCs w:val="18"/>
              </w:rPr>
              <w:t>’</w:t>
            </w:r>
            <w:r>
              <w:rPr>
                <w:rFonts w:ascii="Lucida Sans Unicode" w:hAnsi="Lucida Sans Unicode" w:cs="Lucida Sans Unicode"/>
                <w:szCs w:val="18"/>
              </w:rPr>
              <w:t>.</w:t>
            </w:r>
          </w:p>
        </w:tc>
        <w:tc>
          <w:tcPr>
            <w:tcW w:w="1410" w:type="dxa"/>
          </w:tcPr>
          <w:p w14:paraId="5DBD72C4" w14:textId="51D17B10" w:rsidR="002A22AE" w:rsidRPr="008F1399" w:rsidRDefault="008F1399" w:rsidP="002A22AE">
            <w:pPr>
              <w:spacing w:before="0" w:after="120"/>
              <w:rPr>
                <w:iCs/>
                <w:color w:val="FF0000"/>
              </w:rPr>
            </w:pPr>
            <w:r w:rsidRPr="008F1399">
              <w:rPr>
                <w:iCs/>
              </w:rPr>
              <w:t>Selection process</w:t>
            </w:r>
          </w:p>
        </w:tc>
      </w:tr>
    </w:tbl>
    <w:p w14:paraId="15BF08DE" w14:textId="6445B750" w:rsidR="00013C10" w:rsidRDefault="00013C10" w:rsidP="0012209D"/>
    <w:p w14:paraId="2C14F991" w14:textId="77777777" w:rsidR="00CF20D7" w:rsidRDefault="00CF20D7" w:rsidP="00CF20D7"/>
    <w:p w14:paraId="1300FF49" w14:textId="77777777" w:rsidR="00E0029D" w:rsidRDefault="00E0029D" w:rsidP="00E0029D"/>
    <w:p w14:paraId="15BF08DF" w14:textId="0AA4D6D2" w:rsidR="0012209D" w:rsidRDefault="0012209D" w:rsidP="0012209D">
      <w:pPr>
        <w:overflowPunct/>
        <w:autoSpaceDE/>
        <w:autoSpaceDN/>
        <w:adjustRightInd/>
        <w:spacing w:before="0" w:after="0"/>
        <w:textAlignment w:val="auto"/>
        <w:rPr>
          <w:b/>
        </w:rPr>
      </w:pPr>
      <w:r>
        <w:rPr>
          <w:b/>
        </w:rPr>
        <w:br w:type="page"/>
      </w:r>
    </w:p>
    <w:p w14:paraId="04DC1882" w14:textId="77777777" w:rsidR="00E0029D" w:rsidRDefault="00E0029D" w:rsidP="0012209D">
      <w:pPr>
        <w:overflowPunct/>
        <w:autoSpaceDE/>
        <w:autoSpaceDN/>
        <w:adjustRightInd/>
        <w:spacing w:before="0" w:after="0"/>
        <w:textAlignment w:val="auto"/>
        <w:rPr>
          <w:b/>
        </w:rPr>
      </w:pP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38297358" w14:textId="77777777" w:rsidR="0028437E" w:rsidRDefault="0028437E" w:rsidP="0028437E">
      <w:pPr>
        <w:rPr>
          <w:b/>
          <w:bCs/>
        </w:rPr>
      </w:pPr>
      <w:r>
        <w:rPr>
          <w:b/>
          <w:bCs/>
        </w:rPr>
        <w:t>Is this an office-based post, with routine hazards?</w:t>
      </w:r>
    </w:p>
    <w:tbl>
      <w:tblPr>
        <w:tblStyle w:val="SUTable"/>
        <w:tblW w:w="0" w:type="auto"/>
        <w:tblLook w:val="04A0" w:firstRow="1" w:lastRow="0" w:firstColumn="1" w:lastColumn="0" w:noHBand="0" w:noVBand="1"/>
      </w:tblPr>
      <w:tblGrid>
        <w:gridCol w:w="903"/>
        <w:gridCol w:w="8724"/>
      </w:tblGrid>
      <w:tr w:rsidR="0028437E" w14:paraId="33A2DF33" w14:textId="77777777" w:rsidTr="006815B5">
        <w:tc>
          <w:tcPr>
            <w:tcW w:w="908" w:type="dxa"/>
          </w:tcPr>
          <w:p w14:paraId="293AD1A2" w14:textId="0472F6F7" w:rsidR="0028437E" w:rsidRDefault="00065867" w:rsidP="006815B5">
            <w:sdt>
              <w:sdtPr>
                <w:id w:val="579254332"/>
                <w14:checkbox>
                  <w14:checked w14:val="1"/>
                  <w14:checkedState w14:val="2612" w14:font="MS Gothic"/>
                  <w14:uncheckedState w14:val="2610" w14:font="MS Gothic"/>
                </w14:checkbox>
              </w:sdtPr>
              <w:sdtEndPr/>
              <w:sdtContent>
                <w:r w:rsidR="008F1399">
                  <w:rPr>
                    <w:rFonts w:ascii="MS Gothic" w:eastAsia="MS Gothic" w:hAnsi="MS Gothic" w:hint="eastAsia"/>
                  </w:rPr>
                  <w:t>☒</w:t>
                </w:r>
              </w:sdtContent>
            </w:sdt>
            <w:r w:rsidR="0028437E" w:rsidRPr="00D3349E">
              <w:t xml:space="preserve"> Yes</w:t>
            </w:r>
          </w:p>
        </w:tc>
        <w:tc>
          <w:tcPr>
            <w:tcW w:w="8843" w:type="dxa"/>
          </w:tcPr>
          <w:p w14:paraId="50890573" w14:textId="77777777" w:rsidR="0028437E" w:rsidRDefault="0028437E" w:rsidP="006815B5">
            <w:r>
              <w:t xml:space="preserve">This is an office-based post with </w:t>
            </w:r>
            <w:r w:rsidRPr="009957AE">
              <w:t xml:space="preserve">routine office hazards </w:t>
            </w:r>
            <w:r>
              <w:t>(</w:t>
            </w:r>
            <w:proofErr w:type="spellStart"/>
            <w:r w:rsidRPr="009957AE">
              <w:t>eg</w:t>
            </w:r>
            <w:proofErr w:type="spellEnd"/>
            <w:r w:rsidRPr="009957AE">
              <w:t>: use of VDU</w:t>
            </w:r>
            <w:r>
              <w:t xml:space="preserve">), </w:t>
            </w:r>
            <w:r w:rsidRPr="009957AE">
              <w:t>no further i</w:t>
            </w:r>
            <w:r>
              <w:t>nformation needs to be supplied. Do not complete/remove the section below.</w:t>
            </w:r>
          </w:p>
        </w:tc>
      </w:tr>
      <w:tr w:rsidR="0028437E" w14:paraId="523E289D" w14:textId="77777777" w:rsidTr="006815B5">
        <w:tc>
          <w:tcPr>
            <w:tcW w:w="908" w:type="dxa"/>
          </w:tcPr>
          <w:p w14:paraId="0A5979E1" w14:textId="6BA3554D" w:rsidR="0028437E" w:rsidRDefault="00065867" w:rsidP="00FD04AF">
            <w:sdt>
              <w:sdtPr>
                <w:id w:val="238690436"/>
                <w14:checkbox>
                  <w14:checked w14:val="0"/>
                  <w14:checkedState w14:val="2612" w14:font="MS Gothic"/>
                  <w14:uncheckedState w14:val="2610" w14:font="MS Gothic"/>
                </w14:checkbox>
              </w:sdtPr>
              <w:sdtEndPr/>
              <w:sdtContent>
                <w:r w:rsidR="0028437E" w:rsidRPr="00D3349E">
                  <w:rPr>
                    <w:rFonts w:eastAsia="MS Gothic" w:hint="eastAsia"/>
                  </w:rPr>
                  <w:t>☐</w:t>
                </w:r>
              </w:sdtContent>
            </w:sdt>
            <w:r w:rsidR="0028437E" w:rsidRPr="00D3349E">
              <w:t xml:space="preserve"> </w:t>
            </w:r>
            <w:r w:rsidR="00FD04AF">
              <w:t>Partly</w:t>
            </w:r>
          </w:p>
        </w:tc>
        <w:tc>
          <w:tcPr>
            <w:tcW w:w="8843" w:type="dxa"/>
          </w:tcPr>
          <w:p w14:paraId="25A551C1" w14:textId="77777777" w:rsidR="0028437E" w:rsidRDefault="0028437E" w:rsidP="006815B5">
            <w:r>
              <w:t>This is an office-based post with some non-routine hazards (</w:t>
            </w:r>
            <w:proofErr w:type="spellStart"/>
            <w:r>
              <w:t>eg</w:t>
            </w:r>
            <w:proofErr w:type="spellEnd"/>
            <w:r>
              <w:t>: contact with the public and/or shift work). Please complete the analysis below.</w:t>
            </w:r>
          </w:p>
        </w:tc>
      </w:tr>
      <w:tr w:rsidR="0028437E" w14:paraId="312B9E63" w14:textId="77777777" w:rsidTr="006815B5">
        <w:tc>
          <w:tcPr>
            <w:tcW w:w="908" w:type="dxa"/>
          </w:tcPr>
          <w:p w14:paraId="35A8DE29" w14:textId="77777777" w:rsidR="0028437E" w:rsidRDefault="00065867" w:rsidP="006815B5">
            <w:sdt>
              <w:sdtPr>
                <w:id w:val="-174965147"/>
                <w14:checkbox>
                  <w14:checked w14:val="0"/>
                  <w14:checkedState w14:val="2612" w14:font="MS Gothic"/>
                  <w14:uncheckedState w14:val="2610" w14:font="MS Gothic"/>
                </w14:checkbox>
              </w:sdtPr>
              <w:sdtEndPr/>
              <w:sdtContent>
                <w:r w:rsidR="0028437E" w:rsidRPr="00D3349E">
                  <w:rPr>
                    <w:rFonts w:eastAsia="MS Gothic" w:hint="eastAsia"/>
                  </w:rPr>
                  <w:t>☐</w:t>
                </w:r>
              </w:sdtContent>
            </w:sdt>
            <w:r w:rsidR="0028437E" w:rsidRPr="00D3349E">
              <w:t xml:space="preserve"> No</w:t>
            </w:r>
          </w:p>
        </w:tc>
        <w:tc>
          <w:tcPr>
            <w:tcW w:w="8843" w:type="dxa"/>
          </w:tcPr>
          <w:p w14:paraId="2A5F9D8B" w14:textId="77777777" w:rsidR="0028437E" w:rsidRDefault="0028437E" w:rsidP="006815B5">
            <w:r>
              <w:t xml:space="preserve">This is a </w:t>
            </w:r>
            <w:proofErr w:type="spellStart"/>
            <w:r>
              <w:t>non office</w:t>
            </w:r>
            <w:proofErr w:type="spellEnd"/>
            <w:r>
              <w:t xml:space="preserve">-based post and </w:t>
            </w:r>
            <w:r w:rsidRPr="009957AE">
              <w:t>has some haz</w:t>
            </w:r>
            <w:r>
              <w:t xml:space="preserve">ards. Please complete the analysis below. </w:t>
            </w:r>
          </w:p>
        </w:tc>
      </w:tr>
    </w:tbl>
    <w:p w14:paraId="7167FAFA" w14:textId="77777777" w:rsidR="0028437E" w:rsidRDefault="0028437E" w:rsidP="0028437E"/>
    <w:p w14:paraId="3D143FCF" w14:textId="77777777" w:rsidR="0028437E" w:rsidRPr="00FE23DD" w:rsidRDefault="0028437E" w:rsidP="0028437E">
      <w:pPr>
        <w:rPr>
          <w:b/>
        </w:rPr>
      </w:pPr>
      <w:r w:rsidRPr="00FE23DD">
        <w:rPr>
          <w:b/>
        </w:rPr>
        <w:t>H</w:t>
      </w:r>
      <w:r>
        <w:rPr>
          <w:b/>
        </w:rPr>
        <w:t>IRING MANAGER</w:t>
      </w:r>
    </w:p>
    <w:p w14:paraId="4CE0ACC2" w14:textId="77777777" w:rsidR="0028437E" w:rsidRDefault="0028437E" w:rsidP="0028437E">
      <w:r>
        <w:t>Please complete this section as accurately as possible to ensure the safety of the post-holder.</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5B9F1581" w14:textId="77777777" w:rsidR="0028437E" w:rsidRPr="009957AE" w:rsidRDefault="0028437E" w:rsidP="0028437E">
      <w:r w:rsidRPr="009957AE">
        <w:t xml:space="preserve">## </w:t>
      </w:r>
      <w:r>
        <w:t xml:space="preserve">- </w:t>
      </w:r>
      <w:r w:rsidRPr="009957AE">
        <w:t xml:space="preserve">HR </w:t>
      </w:r>
      <w:r>
        <w:t>will</w:t>
      </w:r>
      <w:r w:rsidRPr="009957AE">
        <w:t xml:space="preserve"> send a full PEHQ to all applicants for this position</w:t>
      </w:r>
      <w:r>
        <w:t>. Please note, if full health clearance is required for a role, this will apply to all individuals, including existing members of staff.</w:t>
      </w:r>
    </w:p>
    <w:p w14:paraId="15BF0976" w14:textId="77777777" w:rsidR="00F01EA0" w:rsidRPr="0012209D" w:rsidRDefault="00F01EA0" w:rsidP="0012209D"/>
    <w:sectPr w:rsidR="00F01EA0" w:rsidRPr="0012209D" w:rsidSect="00F01EA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F8386" w14:textId="77777777" w:rsidR="00673DE7" w:rsidRDefault="00673DE7">
      <w:r>
        <w:separator/>
      </w:r>
    </w:p>
    <w:p w14:paraId="5A555903" w14:textId="77777777" w:rsidR="00673DE7" w:rsidRDefault="00673DE7"/>
  </w:endnote>
  <w:endnote w:type="continuationSeparator" w:id="0">
    <w:p w14:paraId="3E66E03F" w14:textId="77777777" w:rsidR="00673DE7" w:rsidRDefault="00673DE7">
      <w:r>
        <w:continuationSeparator/>
      </w:r>
    </w:p>
    <w:p w14:paraId="0BB5A6C2" w14:textId="77777777" w:rsidR="00673DE7" w:rsidRDefault="00673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30AE" w14:textId="77777777" w:rsidR="00DC5CB0" w:rsidRDefault="00DC5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0564D60A" w:rsidR="00062768" w:rsidRDefault="00CB1F23" w:rsidP="00CE158A">
    <w:pPr>
      <w:pStyle w:val="ContinuationFooter"/>
      <w:ind w:right="320"/>
    </w:pPr>
    <w:r>
      <w:ptab w:relativeTo="margin" w:alignment="right" w:leader="none"/>
    </w:r>
    <w:r>
      <w:fldChar w:fldCharType="begin"/>
    </w:r>
    <w:r>
      <w:instrText xml:space="preserve"> PAGE   \* MERGEFORMAT </w:instrText>
    </w:r>
    <w:r>
      <w:fldChar w:fldCharType="separate"/>
    </w:r>
    <w:r w:rsidR="008F1399">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3758B" w14:textId="77777777" w:rsidR="00DC5CB0" w:rsidRDefault="00DC5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1CFBD" w14:textId="77777777" w:rsidR="00673DE7" w:rsidRDefault="00673DE7">
      <w:r>
        <w:separator/>
      </w:r>
    </w:p>
    <w:p w14:paraId="7B6B52D5" w14:textId="77777777" w:rsidR="00673DE7" w:rsidRDefault="00673DE7"/>
  </w:footnote>
  <w:footnote w:type="continuationSeparator" w:id="0">
    <w:p w14:paraId="76A820EC" w14:textId="77777777" w:rsidR="00673DE7" w:rsidRDefault="00673DE7">
      <w:r>
        <w:continuationSeparator/>
      </w:r>
    </w:p>
    <w:p w14:paraId="2B0406B4" w14:textId="77777777" w:rsidR="00673DE7" w:rsidRDefault="00673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D66EB" w14:textId="77777777" w:rsidR="00DC5CB0" w:rsidRDefault="00DC5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D39EC" w14:textId="77777777" w:rsidR="00DC5CB0" w:rsidRDefault="00DC5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76" w:type="dxa"/>
      <w:tblLayout w:type="fixed"/>
      <w:tblCellMar>
        <w:left w:w="0" w:type="dxa"/>
        <w:right w:w="0" w:type="dxa"/>
      </w:tblCellMar>
      <w:tblLook w:val="00A0" w:firstRow="1" w:lastRow="0" w:firstColumn="1" w:lastColumn="0" w:noHBand="0" w:noVBand="0"/>
    </w:tblPr>
    <w:tblGrid>
      <w:gridCol w:w="9676"/>
    </w:tblGrid>
    <w:tr w:rsidR="00062768" w14:paraId="15BF0981" w14:textId="77777777" w:rsidTr="28437158">
      <w:trPr>
        <w:trHeight w:hRule="exact" w:val="48"/>
      </w:trPr>
      <w:tc>
        <w:tcPr>
          <w:tcW w:w="9676" w:type="dxa"/>
        </w:tcPr>
        <w:p w14:paraId="15BF0980" w14:textId="77777777" w:rsidR="00062768" w:rsidRDefault="00062768" w:rsidP="0029789A">
          <w:pPr>
            <w:pStyle w:val="Header"/>
          </w:pPr>
        </w:p>
      </w:tc>
    </w:tr>
    <w:tr w:rsidR="00062768" w14:paraId="15BF0983" w14:textId="77777777" w:rsidTr="28437158">
      <w:trPr>
        <w:trHeight w:val="254"/>
      </w:trPr>
      <w:tc>
        <w:tcPr>
          <w:tcW w:w="9676" w:type="dxa"/>
        </w:tcPr>
        <w:p w14:paraId="15BF0982" w14:textId="5AAC4860" w:rsidR="00062768" w:rsidRDefault="28437158" w:rsidP="0029789A">
          <w:pPr>
            <w:pStyle w:val="Header"/>
            <w:jc w:val="right"/>
          </w:pPr>
          <w:r>
            <w:rPr>
              <w:noProof/>
            </w:rPr>
            <w:drawing>
              <wp:inline distT="0" distB="0" distL="0" distR="0" wp14:anchorId="1E6175E0" wp14:editId="38041FD1">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0E819C3C" w:rsidR="0005274A" w:rsidRPr="0028437E" w:rsidRDefault="00E804B0" w:rsidP="00434A12">
    <w:pPr>
      <w:pStyle w:val="DocTitle"/>
      <w:rPr>
        <w:sz w:val="52"/>
        <w:szCs w:val="52"/>
      </w:rPr>
    </w:pPr>
    <w:r w:rsidRPr="0028437E">
      <w:rPr>
        <w:sz w:val="52"/>
        <w:szCs w:val="52"/>
      </w:rPr>
      <w:t>Job Description &amp; P</w:t>
    </w:r>
    <w:r w:rsidR="00013C10" w:rsidRPr="0028437E">
      <w:rPr>
        <w:sz w:val="52"/>
        <w:szCs w:val="52"/>
      </w:rPr>
      <w:t xml:space="preserve">erson </w:t>
    </w:r>
    <w:r w:rsidRPr="0028437E">
      <w:rPr>
        <w:sz w:val="52"/>
        <w:szCs w:val="52"/>
      </w:rPr>
      <w:t>S</w:t>
    </w:r>
    <w:r w:rsidR="00013C10" w:rsidRPr="0028437E">
      <w:rPr>
        <w:sz w:val="52"/>
        <w:szCs w:val="52"/>
      </w:rPr>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6EAAC78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DB6983"/>
    <w:multiLevelType w:val="hybridMultilevel"/>
    <w:tmpl w:val="078CD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332D7C"/>
    <w:multiLevelType w:val="hybridMultilevel"/>
    <w:tmpl w:val="E7D44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93046"/>
    <w:multiLevelType w:val="multilevel"/>
    <w:tmpl w:val="5E0EA9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891C62"/>
    <w:multiLevelType w:val="hybridMultilevel"/>
    <w:tmpl w:val="368CE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D07916"/>
    <w:multiLevelType w:val="hybridMultilevel"/>
    <w:tmpl w:val="E16A1A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044C8"/>
    <w:multiLevelType w:val="multilevel"/>
    <w:tmpl w:val="43D0D2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C44F93"/>
    <w:multiLevelType w:val="multilevel"/>
    <w:tmpl w:val="93FA80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E3C4120"/>
    <w:multiLevelType w:val="hybridMultilevel"/>
    <w:tmpl w:val="D0C248C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A2AFD"/>
    <w:multiLevelType w:val="multilevel"/>
    <w:tmpl w:val="C61CB53C"/>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2"/>
  </w:num>
  <w:num w:numId="2">
    <w:abstractNumId w:val="0"/>
  </w:num>
  <w:num w:numId="3">
    <w:abstractNumId w:val="17"/>
  </w:num>
  <w:num w:numId="4">
    <w:abstractNumId w:val="12"/>
  </w:num>
  <w:num w:numId="5">
    <w:abstractNumId w:val="13"/>
  </w:num>
  <w:num w:numId="6">
    <w:abstractNumId w:val="10"/>
  </w:num>
  <w:num w:numId="7">
    <w:abstractNumId w:val="3"/>
  </w:num>
  <w:num w:numId="8">
    <w:abstractNumId w:val="7"/>
  </w:num>
  <w:num w:numId="9">
    <w:abstractNumId w:val="1"/>
  </w:num>
  <w:num w:numId="10">
    <w:abstractNumId w:val="11"/>
  </w:num>
  <w:num w:numId="11">
    <w:abstractNumId w:val="6"/>
  </w:num>
  <w:num w:numId="12">
    <w:abstractNumId w:val="18"/>
  </w:num>
  <w:num w:numId="13">
    <w:abstractNumId w:val="19"/>
  </w:num>
  <w:num w:numId="14">
    <w:abstractNumId w:val="8"/>
  </w:num>
  <w:num w:numId="15">
    <w:abstractNumId w:val="2"/>
  </w:num>
  <w:num w:numId="16">
    <w:abstractNumId w:val="14"/>
  </w:num>
  <w:num w:numId="17">
    <w:abstractNumId w:val="16"/>
  </w:num>
  <w:num w:numId="18">
    <w:abstractNumId w:val="21"/>
  </w:num>
  <w:num w:numId="19">
    <w:abstractNumId w:val="15"/>
  </w:num>
  <w:num w:numId="20">
    <w:abstractNumId w:val="20"/>
  </w:num>
  <w:num w:numId="21">
    <w:abstractNumId w:val="5"/>
  </w:num>
  <w:num w:numId="22">
    <w:abstractNumId w:val="4"/>
  </w:num>
  <w:num w:numId="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25A6"/>
    <w:rsid w:val="000132EB"/>
    <w:rsid w:val="00013C10"/>
    <w:rsid w:val="00015087"/>
    <w:rsid w:val="0005274A"/>
    <w:rsid w:val="00062768"/>
    <w:rsid w:val="00063081"/>
    <w:rsid w:val="00065867"/>
    <w:rsid w:val="00071653"/>
    <w:rsid w:val="00076C74"/>
    <w:rsid w:val="0007710F"/>
    <w:rsid w:val="000824F4"/>
    <w:rsid w:val="000978E8"/>
    <w:rsid w:val="000B1DED"/>
    <w:rsid w:val="000B4E5A"/>
    <w:rsid w:val="000F09C0"/>
    <w:rsid w:val="0011569E"/>
    <w:rsid w:val="0012209D"/>
    <w:rsid w:val="0012532C"/>
    <w:rsid w:val="001532E2"/>
    <w:rsid w:val="00156F2F"/>
    <w:rsid w:val="00166E9A"/>
    <w:rsid w:val="0018144C"/>
    <w:rsid w:val="001840EA"/>
    <w:rsid w:val="00184CB0"/>
    <w:rsid w:val="001B6986"/>
    <w:rsid w:val="001C5C5C"/>
    <w:rsid w:val="001D0B37"/>
    <w:rsid w:val="001D5201"/>
    <w:rsid w:val="001E24BE"/>
    <w:rsid w:val="001F7E39"/>
    <w:rsid w:val="00205458"/>
    <w:rsid w:val="0022090A"/>
    <w:rsid w:val="00236BFE"/>
    <w:rsid w:val="00241441"/>
    <w:rsid w:val="0024539C"/>
    <w:rsid w:val="00254722"/>
    <w:rsid w:val="002547F5"/>
    <w:rsid w:val="00260333"/>
    <w:rsid w:val="00260B1D"/>
    <w:rsid w:val="00266C6A"/>
    <w:rsid w:val="0028437E"/>
    <w:rsid w:val="0028509A"/>
    <w:rsid w:val="0029789A"/>
    <w:rsid w:val="002A22AE"/>
    <w:rsid w:val="002A3E28"/>
    <w:rsid w:val="002A70BE"/>
    <w:rsid w:val="002A7FD4"/>
    <w:rsid w:val="002C6198"/>
    <w:rsid w:val="002D4DF4"/>
    <w:rsid w:val="00313CC8"/>
    <w:rsid w:val="003178D9"/>
    <w:rsid w:val="0034151E"/>
    <w:rsid w:val="003644C2"/>
    <w:rsid w:val="00364B2C"/>
    <w:rsid w:val="003701F7"/>
    <w:rsid w:val="00385BC3"/>
    <w:rsid w:val="003B0262"/>
    <w:rsid w:val="003B7540"/>
    <w:rsid w:val="003D3068"/>
    <w:rsid w:val="004263FE"/>
    <w:rsid w:val="00434A12"/>
    <w:rsid w:val="004445D9"/>
    <w:rsid w:val="00463797"/>
    <w:rsid w:val="00464C32"/>
    <w:rsid w:val="00474D00"/>
    <w:rsid w:val="00487C87"/>
    <w:rsid w:val="004B2A50"/>
    <w:rsid w:val="004C0252"/>
    <w:rsid w:val="004C71A7"/>
    <w:rsid w:val="004D1F2D"/>
    <w:rsid w:val="00501151"/>
    <w:rsid w:val="0051744C"/>
    <w:rsid w:val="00524005"/>
    <w:rsid w:val="005357CF"/>
    <w:rsid w:val="00541CE0"/>
    <w:rsid w:val="005534E1"/>
    <w:rsid w:val="00573487"/>
    <w:rsid w:val="00580CBF"/>
    <w:rsid w:val="0058322E"/>
    <w:rsid w:val="0058536B"/>
    <w:rsid w:val="005907B3"/>
    <w:rsid w:val="005949FA"/>
    <w:rsid w:val="005C0925"/>
    <w:rsid w:val="005D44D1"/>
    <w:rsid w:val="0061181C"/>
    <w:rsid w:val="006249FD"/>
    <w:rsid w:val="00634601"/>
    <w:rsid w:val="00634A2C"/>
    <w:rsid w:val="00651280"/>
    <w:rsid w:val="00673DE7"/>
    <w:rsid w:val="00677688"/>
    <w:rsid w:val="00680547"/>
    <w:rsid w:val="00682209"/>
    <w:rsid w:val="006861DE"/>
    <w:rsid w:val="00695D76"/>
    <w:rsid w:val="006B1AF6"/>
    <w:rsid w:val="006C29AA"/>
    <w:rsid w:val="006F44EB"/>
    <w:rsid w:val="0070376B"/>
    <w:rsid w:val="00730FBF"/>
    <w:rsid w:val="00761108"/>
    <w:rsid w:val="00780BAC"/>
    <w:rsid w:val="0079197B"/>
    <w:rsid w:val="00791A2A"/>
    <w:rsid w:val="007C22CC"/>
    <w:rsid w:val="007C6FAA"/>
    <w:rsid w:val="007E2D19"/>
    <w:rsid w:val="007F2AEA"/>
    <w:rsid w:val="00810800"/>
    <w:rsid w:val="00813365"/>
    <w:rsid w:val="00813A2C"/>
    <w:rsid w:val="0082020C"/>
    <w:rsid w:val="0082075E"/>
    <w:rsid w:val="008443D8"/>
    <w:rsid w:val="00846377"/>
    <w:rsid w:val="00854B1E"/>
    <w:rsid w:val="00856B8A"/>
    <w:rsid w:val="00876272"/>
    <w:rsid w:val="00883499"/>
    <w:rsid w:val="00885FD1"/>
    <w:rsid w:val="00892358"/>
    <w:rsid w:val="008D1148"/>
    <w:rsid w:val="008D52C9"/>
    <w:rsid w:val="008F03C7"/>
    <w:rsid w:val="008F1399"/>
    <w:rsid w:val="009064A9"/>
    <w:rsid w:val="00945F4B"/>
    <w:rsid w:val="009464AF"/>
    <w:rsid w:val="009476E2"/>
    <w:rsid w:val="0095224F"/>
    <w:rsid w:val="00954E47"/>
    <w:rsid w:val="00965BFB"/>
    <w:rsid w:val="00970E28"/>
    <w:rsid w:val="0097240C"/>
    <w:rsid w:val="0098120F"/>
    <w:rsid w:val="00996476"/>
    <w:rsid w:val="009A1BB6"/>
    <w:rsid w:val="009E5E2B"/>
    <w:rsid w:val="00A021B7"/>
    <w:rsid w:val="00A131D9"/>
    <w:rsid w:val="00A14888"/>
    <w:rsid w:val="00A23226"/>
    <w:rsid w:val="00A34296"/>
    <w:rsid w:val="00A521A9"/>
    <w:rsid w:val="00A76731"/>
    <w:rsid w:val="00A812DB"/>
    <w:rsid w:val="00A925C0"/>
    <w:rsid w:val="00AA3CB5"/>
    <w:rsid w:val="00AC2B17"/>
    <w:rsid w:val="00AE1634"/>
    <w:rsid w:val="00AE1CA0"/>
    <w:rsid w:val="00AE39DC"/>
    <w:rsid w:val="00AE4DC4"/>
    <w:rsid w:val="00B106B1"/>
    <w:rsid w:val="00B11F45"/>
    <w:rsid w:val="00B159C1"/>
    <w:rsid w:val="00B23321"/>
    <w:rsid w:val="00B430BB"/>
    <w:rsid w:val="00B4681E"/>
    <w:rsid w:val="00B84C12"/>
    <w:rsid w:val="00BB12FF"/>
    <w:rsid w:val="00BB4A42"/>
    <w:rsid w:val="00BB7845"/>
    <w:rsid w:val="00BF1CC6"/>
    <w:rsid w:val="00C05065"/>
    <w:rsid w:val="00C35FEA"/>
    <w:rsid w:val="00C45005"/>
    <w:rsid w:val="00C87E6E"/>
    <w:rsid w:val="00C907D0"/>
    <w:rsid w:val="00CA275C"/>
    <w:rsid w:val="00CA336C"/>
    <w:rsid w:val="00CB1F23"/>
    <w:rsid w:val="00CD04F0"/>
    <w:rsid w:val="00CE01EB"/>
    <w:rsid w:val="00CE158A"/>
    <w:rsid w:val="00CE3118"/>
    <w:rsid w:val="00CE3A26"/>
    <w:rsid w:val="00CF20D7"/>
    <w:rsid w:val="00D10441"/>
    <w:rsid w:val="00D16D9D"/>
    <w:rsid w:val="00D3349E"/>
    <w:rsid w:val="00D54AA2"/>
    <w:rsid w:val="00D55315"/>
    <w:rsid w:val="00D5587F"/>
    <w:rsid w:val="00D65B56"/>
    <w:rsid w:val="00D67D41"/>
    <w:rsid w:val="00DC5CB0"/>
    <w:rsid w:val="00DE1FCA"/>
    <w:rsid w:val="00E0029D"/>
    <w:rsid w:val="00E25775"/>
    <w:rsid w:val="00E264FD"/>
    <w:rsid w:val="00E363B8"/>
    <w:rsid w:val="00E63AC1"/>
    <w:rsid w:val="00E804B0"/>
    <w:rsid w:val="00E934A2"/>
    <w:rsid w:val="00E96015"/>
    <w:rsid w:val="00ED2E52"/>
    <w:rsid w:val="00F01EA0"/>
    <w:rsid w:val="00F12C97"/>
    <w:rsid w:val="00F1379E"/>
    <w:rsid w:val="00F174E8"/>
    <w:rsid w:val="00F378D2"/>
    <w:rsid w:val="00F74317"/>
    <w:rsid w:val="00F85DED"/>
    <w:rsid w:val="00F90F90"/>
    <w:rsid w:val="00F918FB"/>
    <w:rsid w:val="00FB7297"/>
    <w:rsid w:val="00FC2ADA"/>
    <w:rsid w:val="00FD04AF"/>
    <w:rsid w:val="00FF140B"/>
    <w:rsid w:val="03BBFB44"/>
    <w:rsid w:val="0B8E84F7"/>
    <w:rsid w:val="1D6B4B95"/>
    <w:rsid w:val="2626259D"/>
    <w:rsid w:val="28437158"/>
    <w:rsid w:val="2BCEA267"/>
    <w:rsid w:val="34B57D1B"/>
    <w:rsid w:val="3BFA4A11"/>
    <w:rsid w:val="6DE22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ac.uk/~assets/doc/hr/Southampton%20Behaviour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39CD47A67FFB42870E644C93A4C320" ma:contentTypeVersion="4" ma:contentTypeDescription="Create a new document." ma:contentTypeScope="" ma:versionID="b91a6b279e69851dd4f14f6ed772315e">
  <xsd:schema xmlns:xsd="http://www.w3.org/2001/XMLSchema" xmlns:xs="http://www.w3.org/2001/XMLSchema" xmlns:p="http://schemas.microsoft.com/office/2006/metadata/properties" xmlns:ns2="a416e942-f46b-41ef-8297-eddadad51320" targetNamespace="http://schemas.microsoft.com/office/2006/metadata/properties" ma:root="true" ma:fieldsID="8289fde257850f068c6e85868687f2d5" ns2:_="">
    <xsd:import namespace="a416e942-f46b-41ef-8297-eddadad513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6e942-f46b-41ef-8297-eddadad51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C7C56-FD66-49C6-8F3A-D59C5039CF74}">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82625629-BB67-463D-B206-C90EB4AB8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6e942-f46b-41ef-8297-eddadad51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1500</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Caroline Milligan</cp:lastModifiedBy>
  <cp:revision>32</cp:revision>
  <cp:lastPrinted>2008-01-14T17:11:00Z</cp:lastPrinted>
  <dcterms:created xsi:type="dcterms:W3CDTF">2021-03-26T14:03:00Z</dcterms:created>
  <dcterms:modified xsi:type="dcterms:W3CDTF">2021-03-30T12:18:00Z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0x0101006739CD47A67FFB42870E644C93A4C320</vt:lpwstr>
  </property>
</Properties>
</file>